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234A6">
      <w:pPr>
        <w:spacing w:line="240" w:lineRule="auto"/>
        <w:ind w:leftChars="0" w:firstLine="0" w:firstLineChars="0"/>
        <w:jc w:val="center"/>
        <w:rPr>
          <w:rFonts w:hint="eastAsia" w:ascii="黑体" w:hAnsi="黑体" w:eastAsia="黑体" w:cs="黑体"/>
          <w:b/>
          <w:bCs/>
          <w:color w:val="000000" w:themeColor="text1"/>
          <w:sz w:val="48"/>
          <w:szCs w:val="48"/>
          <w:highlight w:val="yellow"/>
          <w14:textFill>
            <w14:solidFill>
              <w14:schemeClr w14:val="tx1"/>
            </w14:solidFill>
          </w14:textFill>
        </w:rPr>
      </w:pPr>
    </w:p>
    <w:p w14:paraId="01751172">
      <w:pPr>
        <w:spacing w:line="240" w:lineRule="auto"/>
        <w:ind w:leftChars="0" w:firstLine="0" w:firstLineChars="0"/>
        <w:jc w:val="center"/>
        <w:rPr>
          <w:rFonts w:hint="eastAsia" w:ascii="方正小标宋简体" w:hAnsi="方正小标宋简体" w:eastAsia="方正小标宋简体" w:cs="方正小标宋简体"/>
          <w:b/>
          <w:bCs/>
          <w:color w:val="000000" w:themeColor="text1"/>
          <w:sz w:val="44"/>
          <w:szCs w:val="44"/>
          <w:highlight w:val="yellow"/>
          <w14:textFill>
            <w14:solidFill>
              <w14:schemeClr w14:val="tx1"/>
            </w14:solidFill>
          </w14:textFill>
        </w:rPr>
      </w:pPr>
    </w:p>
    <w:p w14:paraId="14A2C60C">
      <w:pPr>
        <w:spacing w:line="240" w:lineRule="auto"/>
        <w:ind w:leftChars="0" w:firstLine="0" w:firstLineChars="0"/>
        <w:jc w:val="cente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bookmarkStart w:id="0" w:name="OLE_LINK2"/>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海口市乡村振兴投资发展集团有限公司</w:t>
      </w:r>
    </w:p>
    <w:p w14:paraId="671327A9">
      <w:pPr>
        <w:spacing w:line="240" w:lineRule="auto"/>
        <w:ind w:leftChars="0" w:firstLine="0" w:firstLineChars="0"/>
        <w:jc w:val="cente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安全生产综合应急预案编制服务</w:t>
      </w:r>
    </w:p>
    <w:bookmarkEnd w:id="0"/>
    <w:p w14:paraId="6E8DB188">
      <w:pPr>
        <w:spacing w:line="240" w:lineRule="auto"/>
        <w:ind w:leftChars="0" w:firstLine="0" w:firstLineChars="0"/>
        <w:jc w:val="center"/>
        <w:rPr>
          <w:rFonts w:hint="eastAsia" w:ascii="黑体" w:hAnsi="黑体" w:eastAsia="黑体" w:cs="黑体"/>
          <w:b w:val="0"/>
          <w:bCs w:val="0"/>
          <w:color w:val="000000" w:themeColor="text1"/>
          <w:sz w:val="48"/>
          <w:szCs w:val="48"/>
          <w:lang w:eastAsia="zh-CN"/>
          <w14:textFill>
            <w14:solidFill>
              <w14:schemeClr w14:val="tx1"/>
            </w14:solidFill>
          </w14:textFill>
        </w:rPr>
      </w:pPr>
    </w:p>
    <w:p w14:paraId="6F64684D">
      <w:pPr>
        <w:spacing w:line="240" w:lineRule="auto"/>
        <w:ind w:leftChars="0" w:firstLine="0" w:firstLineChars="0"/>
        <w:jc w:val="center"/>
        <w:rPr>
          <w:rFonts w:hint="eastAsia" w:ascii="黑体" w:hAnsi="黑体" w:eastAsia="黑体" w:cs="黑体"/>
          <w:b w:val="0"/>
          <w:bCs w:val="0"/>
          <w:color w:val="000000" w:themeColor="text1"/>
          <w:sz w:val="48"/>
          <w:szCs w:val="48"/>
          <w:lang w:eastAsia="zh-CN"/>
          <w14:textFill>
            <w14:solidFill>
              <w14:schemeClr w14:val="tx1"/>
            </w14:solidFill>
          </w14:textFill>
        </w:rPr>
      </w:pPr>
    </w:p>
    <w:p w14:paraId="7E781946">
      <w:pPr>
        <w:spacing w:line="240" w:lineRule="auto"/>
        <w:ind w:leftChars="0" w:firstLine="0" w:firstLineChars="0"/>
        <w:jc w:val="center"/>
        <w:rPr>
          <w:rFonts w:hint="eastAsia" w:ascii="黑体" w:hAnsi="黑体" w:eastAsia="黑体" w:cs="黑体"/>
          <w:b w:val="0"/>
          <w:bCs w:val="0"/>
          <w:color w:val="000000" w:themeColor="text1"/>
          <w:sz w:val="48"/>
          <w:szCs w:val="48"/>
          <w:lang w:eastAsia="zh-CN"/>
          <w14:textFill>
            <w14:solidFill>
              <w14:schemeClr w14:val="tx1"/>
            </w14:solidFill>
          </w14:textFill>
        </w:rPr>
      </w:pPr>
    </w:p>
    <w:p w14:paraId="1AF5E7FE">
      <w:pPr>
        <w:spacing w:line="240" w:lineRule="auto"/>
        <w:ind w:leftChars="0" w:firstLine="0" w:firstLineChars="0"/>
        <w:jc w:val="center"/>
        <w:rPr>
          <w:rFonts w:hint="eastAsia" w:ascii="黑体" w:hAnsi="黑体" w:eastAsia="黑体" w:cs="黑体"/>
          <w:b w:val="0"/>
          <w:bCs w:val="0"/>
          <w:color w:val="000000" w:themeColor="text1"/>
          <w:sz w:val="48"/>
          <w:szCs w:val="48"/>
          <w:lang w:eastAsia="zh-CN"/>
          <w14:textFill>
            <w14:solidFill>
              <w14:schemeClr w14:val="tx1"/>
            </w14:solidFill>
          </w14:textFill>
        </w:rPr>
      </w:pPr>
    </w:p>
    <w:p w14:paraId="5758743A">
      <w:pPr>
        <w:spacing w:line="240" w:lineRule="auto"/>
        <w:ind w:leftChars="0" w:firstLine="0" w:firstLineChars="0"/>
        <w:jc w:val="center"/>
        <w:rPr>
          <w:rFonts w:hint="eastAsia" w:ascii="黑体" w:hAnsi="黑体" w:eastAsia="黑体" w:cs="黑体"/>
          <w:b w:val="0"/>
          <w:bCs w:val="0"/>
          <w:color w:val="000000" w:themeColor="text1"/>
          <w:sz w:val="48"/>
          <w:szCs w:val="48"/>
          <w:lang w:eastAsia="zh-CN"/>
          <w14:textFill>
            <w14:solidFill>
              <w14:schemeClr w14:val="tx1"/>
            </w14:solidFill>
          </w14:textFill>
        </w:rPr>
      </w:pPr>
    </w:p>
    <w:p w14:paraId="1B75030C">
      <w:pPr>
        <w:spacing w:line="240" w:lineRule="auto"/>
        <w:ind w:leftChars="0" w:firstLine="0" w:firstLineChars="0"/>
        <w:jc w:val="center"/>
        <w:rPr>
          <w:rFonts w:hint="eastAsia" w:ascii="黑体" w:hAnsi="黑体" w:eastAsia="黑体" w:cs="黑体"/>
          <w:b w:val="0"/>
          <w:bCs w:val="0"/>
          <w:color w:val="000000" w:themeColor="text1"/>
          <w:sz w:val="48"/>
          <w:szCs w:val="48"/>
          <w:lang w:eastAsia="zh-CN"/>
          <w14:textFill>
            <w14:solidFill>
              <w14:schemeClr w14:val="tx1"/>
            </w14:solidFill>
          </w14:textFill>
        </w:rPr>
      </w:pPr>
    </w:p>
    <w:p w14:paraId="1D7BB696">
      <w:pPr>
        <w:spacing w:line="240" w:lineRule="auto"/>
        <w:ind w:leftChars="0" w:firstLine="0" w:firstLineChars="0"/>
        <w:jc w:val="center"/>
        <w:rPr>
          <w:rFonts w:hint="eastAsia" w:ascii="方正小标宋简体" w:hAnsi="方正小标宋简体" w:eastAsia="方正小标宋简体" w:cs="方正小标宋简体"/>
          <w:b w:val="0"/>
          <w:bCs w:val="0"/>
          <w:color w:val="000000" w:themeColor="text1"/>
          <w:sz w:val="72"/>
          <w:szCs w:val="7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lang w:val="en-US" w:eastAsia="zh-CN"/>
          <w14:textFill>
            <w14:solidFill>
              <w14:schemeClr w14:val="tx1"/>
            </w14:solidFill>
          </w14:textFill>
        </w:rPr>
        <w:t xml:space="preserve">比 选 </w:t>
      </w:r>
      <w:r>
        <w:rPr>
          <w:rFonts w:hint="eastAsia" w:ascii="方正小标宋简体" w:hAnsi="方正小标宋简体" w:eastAsia="方正小标宋简体" w:cs="方正小标宋简体"/>
          <w:b w:val="0"/>
          <w:bCs w:val="0"/>
          <w:color w:val="000000" w:themeColor="text1"/>
          <w:sz w:val="72"/>
          <w:szCs w:val="72"/>
          <w14:textFill>
            <w14:solidFill>
              <w14:schemeClr w14:val="tx1"/>
            </w14:solidFill>
          </w14:textFill>
        </w:rPr>
        <w:t>文</w:t>
      </w:r>
      <w:r>
        <w:rPr>
          <w:rFonts w:hint="eastAsia" w:ascii="方正小标宋简体" w:hAnsi="方正小标宋简体" w:eastAsia="方正小标宋简体" w:cs="方正小标宋简体"/>
          <w:b w:val="0"/>
          <w:bCs w:val="0"/>
          <w:color w:val="000000" w:themeColor="text1"/>
          <w:sz w:val="72"/>
          <w:szCs w:val="7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72"/>
          <w:szCs w:val="72"/>
          <w14:textFill>
            <w14:solidFill>
              <w14:schemeClr w14:val="tx1"/>
            </w14:solidFill>
          </w14:textFill>
        </w:rPr>
        <w:t>件</w:t>
      </w:r>
    </w:p>
    <w:p w14:paraId="299D4B33">
      <w:pPr>
        <w:spacing w:line="240" w:lineRule="auto"/>
        <w:ind w:leftChars="0" w:firstLine="0" w:firstLineChars="0"/>
        <w:jc w:val="center"/>
        <w:rPr>
          <w:rFonts w:hint="eastAsia" w:ascii="黑体" w:hAnsi="黑体" w:eastAsia="黑体" w:cs="黑体"/>
          <w:b/>
          <w:bCs/>
          <w:color w:val="000000" w:themeColor="text1"/>
          <w:sz w:val="48"/>
          <w:szCs w:val="48"/>
          <w14:textFill>
            <w14:solidFill>
              <w14:schemeClr w14:val="tx1"/>
            </w14:solidFill>
          </w14:textFill>
        </w:rPr>
      </w:pPr>
    </w:p>
    <w:p w14:paraId="1481DD14">
      <w:pPr>
        <w:spacing w:line="240" w:lineRule="auto"/>
        <w:ind w:leftChars="0" w:firstLine="0" w:firstLineChars="0"/>
        <w:jc w:val="center"/>
        <w:rPr>
          <w:rFonts w:hint="eastAsia" w:ascii="黑体" w:hAnsi="黑体" w:eastAsia="黑体" w:cs="黑体"/>
          <w:b/>
          <w:bCs/>
          <w:color w:val="000000" w:themeColor="text1"/>
          <w:sz w:val="48"/>
          <w:szCs w:val="48"/>
          <w14:textFill>
            <w14:solidFill>
              <w14:schemeClr w14:val="tx1"/>
            </w14:solidFill>
          </w14:textFill>
        </w:rPr>
      </w:pPr>
    </w:p>
    <w:p w14:paraId="0A8F08DA">
      <w:pPr>
        <w:spacing w:line="240" w:lineRule="auto"/>
        <w:ind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p>
    <w:p w14:paraId="6DB14CBC">
      <w:pPr>
        <w:spacing w:line="240" w:lineRule="auto"/>
        <w:ind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p>
    <w:p w14:paraId="1DBDA35F">
      <w:pPr>
        <w:spacing w:line="240" w:lineRule="auto"/>
        <w:ind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p>
    <w:p w14:paraId="1FA98599">
      <w:pPr>
        <w:spacing w:line="240" w:lineRule="auto"/>
        <w:ind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p>
    <w:p w14:paraId="3E39B316">
      <w:pPr>
        <w:spacing w:line="240" w:lineRule="auto"/>
        <w:ind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p>
    <w:p w14:paraId="44870EF7">
      <w:pPr>
        <w:spacing w:line="240" w:lineRule="auto"/>
        <w:ind w:leftChars="0" w:firstLine="0" w:firstLineChars="0"/>
        <w:jc w:val="left"/>
        <w:rPr>
          <w:rFonts w:hint="eastAsia" w:ascii="仿宋" w:hAnsi="仿宋" w:eastAsia="仿宋" w:cs="仿宋"/>
          <w:b/>
          <w:bCs/>
          <w:color w:val="000000" w:themeColor="text1"/>
          <w:sz w:val="24"/>
          <w:szCs w:val="24"/>
          <w14:textFill>
            <w14:solidFill>
              <w14:schemeClr w14:val="tx1"/>
            </w14:solidFill>
          </w14:textFill>
        </w:rPr>
      </w:pPr>
    </w:p>
    <w:p w14:paraId="72135066">
      <w:pPr>
        <w:spacing w:line="240" w:lineRule="auto"/>
        <w:ind w:leftChars="0" w:firstLine="0" w:firstLineChars="0"/>
        <w:jc w:val="left"/>
        <w:rPr>
          <w:rFonts w:hint="eastAsia" w:ascii="仿宋" w:hAnsi="仿宋" w:eastAsia="仿宋" w:cs="仿宋"/>
          <w:b/>
          <w:bCs/>
          <w:color w:val="000000" w:themeColor="text1"/>
          <w:sz w:val="24"/>
          <w:szCs w:val="24"/>
          <w14:textFill>
            <w14:solidFill>
              <w14:schemeClr w14:val="tx1"/>
            </w14:solidFill>
          </w14:textFill>
        </w:rPr>
      </w:pPr>
    </w:p>
    <w:p w14:paraId="1BA174FC">
      <w:pPr>
        <w:spacing w:line="240" w:lineRule="auto"/>
        <w:ind w:leftChars="0" w:firstLine="0" w:firstLineChars="0"/>
        <w:jc w:val="left"/>
        <w:rPr>
          <w:rFonts w:hint="eastAsia" w:ascii="仿宋" w:hAnsi="仿宋" w:eastAsia="仿宋" w:cs="仿宋"/>
          <w:b/>
          <w:bCs/>
          <w:color w:val="000000" w:themeColor="text1"/>
          <w:sz w:val="24"/>
          <w:szCs w:val="24"/>
          <w:highlight w:val="none"/>
          <w14:textFill>
            <w14:solidFill>
              <w14:schemeClr w14:val="tx1"/>
            </w14:solidFill>
          </w14:textFill>
        </w:rPr>
      </w:pPr>
    </w:p>
    <w:p w14:paraId="1B053AFC">
      <w:pPr>
        <w:spacing w:line="240" w:lineRule="auto"/>
        <w:ind w:leftChars="0" w:firstLine="0" w:firstLineChars="0"/>
        <w:jc w:val="cente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招标（采购）单位</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海口市乡村振兴投资发展集团有限</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公司</w:t>
      </w:r>
    </w:p>
    <w:p w14:paraId="161ADF3D">
      <w:pPr>
        <w:spacing w:line="240" w:lineRule="auto"/>
        <w:ind w:leftChars="0" w:firstLine="0" w:firstLineChars="0"/>
        <w:jc w:val="cente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二Ο二五年六月</w:t>
      </w:r>
    </w:p>
    <w:p w14:paraId="6D5818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0"/>
        <w:rPr>
          <w:rFonts w:hint="eastAsia" w:ascii="仿宋" w:hAnsi="仿宋" w:eastAsia="仿宋" w:cs="仿宋"/>
          <w:b/>
          <w:color w:val="000000" w:themeColor="text1"/>
          <w:sz w:val="32"/>
          <w:szCs w:val="32"/>
          <w:highlight w:val="none"/>
          <w14:textFill>
            <w14:solidFill>
              <w14:schemeClr w14:val="tx1"/>
            </w14:solidFill>
          </w14:textFill>
        </w:rPr>
      </w:pPr>
      <w:bookmarkStart w:id="1" w:name="_Toc455781328"/>
    </w:p>
    <w:p w14:paraId="4E6A52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0"/>
        <w:rPr>
          <w:rFonts w:hint="eastAsia" w:ascii="仿宋" w:hAnsi="仿宋" w:eastAsia="仿宋" w:cs="仿宋"/>
          <w:b/>
          <w:bCs w:val="0"/>
          <w:color w:val="000000" w:themeColor="text1"/>
          <w:sz w:val="36"/>
          <w:szCs w:val="36"/>
          <w:highlight w:val="none"/>
          <w:lang w:eastAsia="zh-CN"/>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p>
    <w:p w14:paraId="6452C6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0"/>
        <w:rPr>
          <w:rFonts w:hint="eastAsia" w:ascii="仿宋" w:hAnsi="仿宋" w:eastAsia="仿宋" w:cs="仿宋"/>
          <w:b/>
          <w:bCs w:val="0"/>
          <w:color w:val="000000" w:themeColor="text1"/>
          <w:sz w:val="36"/>
          <w:szCs w:val="36"/>
          <w:highlight w:val="none"/>
          <w:lang w:eastAsia="zh-CN"/>
          <w14:textFill>
            <w14:solidFill>
              <w14:schemeClr w14:val="tx1"/>
            </w14:solidFill>
          </w14:textFill>
        </w:rPr>
      </w:pPr>
      <w:r>
        <w:rPr>
          <w:rFonts w:hint="eastAsia" w:ascii="仿宋" w:hAnsi="仿宋" w:eastAsia="仿宋" w:cs="仿宋"/>
          <w:b/>
          <w:bCs w:val="0"/>
          <w:color w:val="000000" w:themeColor="text1"/>
          <w:sz w:val="36"/>
          <w:szCs w:val="36"/>
          <w:highlight w:val="none"/>
          <w:lang w:eastAsia="zh-CN"/>
          <w14:textFill>
            <w14:solidFill>
              <w14:schemeClr w14:val="tx1"/>
            </w14:solidFill>
          </w14:textFill>
        </w:rPr>
        <w:t>目</w:t>
      </w:r>
      <w:r>
        <w:rPr>
          <w:rFonts w:hint="eastAsia" w:ascii="仿宋" w:hAnsi="仿宋" w:eastAsia="仿宋" w:cs="仿宋"/>
          <w:b/>
          <w:bCs w:val="0"/>
          <w:color w:val="000000" w:themeColor="text1"/>
          <w:sz w:val="36"/>
          <w:szCs w:val="36"/>
          <w:highlight w:val="none"/>
          <w:lang w:val="en-US" w:eastAsia="zh-CN"/>
          <w14:textFill>
            <w14:solidFill>
              <w14:schemeClr w14:val="tx1"/>
            </w14:solidFill>
          </w14:textFill>
        </w:rPr>
        <w:t xml:space="preserve">    </w:t>
      </w:r>
      <w:r>
        <w:rPr>
          <w:rFonts w:hint="eastAsia" w:ascii="仿宋" w:hAnsi="仿宋" w:eastAsia="仿宋" w:cs="仿宋"/>
          <w:b/>
          <w:bCs w:val="0"/>
          <w:color w:val="000000" w:themeColor="text1"/>
          <w:sz w:val="36"/>
          <w:szCs w:val="36"/>
          <w:highlight w:val="none"/>
          <w:lang w:eastAsia="zh-CN"/>
          <w14:textFill>
            <w14:solidFill>
              <w14:schemeClr w14:val="tx1"/>
            </w14:solidFill>
          </w14:textFill>
        </w:rPr>
        <w:t>录</w:t>
      </w:r>
    </w:p>
    <w:p w14:paraId="35D8BF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color w:val="000000" w:themeColor="text1"/>
          <w:sz w:val="32"/>
          <w:szCs w:val="32"/>
          <w:highlight w:val="none"/>
          <w14:textFill>
            <w14:solidFill>
              <w14:schemeClr w14:val="tx1"/>
            </w14:solidFill>
          </w14:textFill>
        </w:rPr>
      </w:pPr>
    </w:p>
    <w:p w14:paraId="7E2601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eastAsia="zh-CN"/>
          <w14:textFill>
            <w14:solidFill>
              <w14:schemeClr w14:val="tx1"/>
            </w14:solidFill>
          </w14:textFill>
        </w:rPr>
        <w:t>第一部分：邀请函</w:t>
      </w:r>
    </w:p>
    <w:p w14:paraId="10725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636485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eastAsia="zh-CN"/>
          <w14:textFill>
            <w14:solidFill>
              <w14:schemeClr w14:val="tx1"/>
            </w14:solidFill>
          </w14:textFill>
        </w:rPr>
        <w:t>第二部分：供应商须知</w:t>
      </w:r>
    </w:p>
    <w:p w14:paraId="7C6D91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710561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eastAsia="zh-CN"/>
          <w14:textFill>
            <w14:solidFill>
              <w14:schemeClr w14:val="tx1"/>
            </w14:solidFill>
          </w14:textFill>
        </w:rPr>
        <w:t>第三部分：合同条款</w:t>
      </w:r>
    </w:p>
    <w:p w14:paraId="5B2933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509AAF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eastAsia="zh-CN"/>
          <w14:textFill>
            <w14:solidFill>
              <w14:schemeClr w14:val="tx1"/>
            </w14:solidFill>
          </w14:textFill>
        </w:rPr>
        <w:t>第四部分：响应文件内容和格式</w:t>
      </w:r>
    </w:p>
    <w:p w14:paraId="5545BF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22AD2C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eastAsia="zh-CN"/>
          <w14:textFill>
            <w14:solidFill>
              <w14:schemeClr w14:val="tx1"/>
            </w14:solidFill>
          </w14:textFill>
        </w:rPr>
        <w:t>第五部分：评标办法</w:t>
      </w:r>
    </w:p>
    <w:p w14:paraId="72D7C3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31EDAC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40234F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14E84D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731758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1A26D7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5C6D2F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4505E6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67B63B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258465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p w14:paraId="5D1403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 w:hAnsi="仿宋" w:eastAsia="仿宋" w:cs="仿宋"/>
          <w:b w:val="0"/>
          <w:bCs/>
          <w:color w:val="000000" w:themeColor="text1"/>
          <w:sz w:val="28"/>
          <w:szCs w:val="28"/>
          <w:highlight w:val="none"/>
          <w:lang w:eastAsia="zh-CN"/>
          <w14:textFill>
            <w14:solidFill>
              <w14:schemeClr w14:val="tx1"/>
            </w14:solidFill>
          </w14:textFill>
        </w:rPr>
      </w:pPr>
    </w:p>
    <w:bookmarkEnd w:id="1"/>
    <w:p w14:paraId="1ED07014">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 w:hAnsi="仿宋" w:eastAsia="仿宋" w:cs="仿宋"/>
          <w:b/>
          <w:color w:val="000000" w:themeColor="text1"/>
          <w:sz w:val="44"/>
          <w:szCs w:val="44"/>
          <w:highlight w:val="none"/>
          <w:lang w:eastAsia="zh-CN"/>
          <w14:textFill>
            <w14:solidFill>
              <w14:schemeClr w14:val="tx1"/>
            </w14:solidFill>
          </w14:textFill>
        </w:rPr>
      </w:pPr>
      <w:r>
        <w:rPr>
          <w:rFonts w:hint="eastAsia" w:ascii="仿宋" w:hAnsi="仿宋" w:eastAsia="仿宋" w:cs="仿宋"/>
          <w:b/>
          <w:color w:val="000000" w:themeColor="text1"/>
          <w:sz w:val="44"/>
          <w:szCs w:val="44"/>
          <w:highlight w:val="none"/>
          <w:lang w:val="en-US" w:eastAsia="zh-CN"/>
          <w14:textFill>
            <w14:solidFill>
              <w14:schemeClr w14:val="tx1"/>
            </w14:solidFill>
          </w14:textFill>
        </w:rPr>
        <w:t>邀请函</w:t>
      </w:r>
    </w:p>
    <w:p w14:paraId="27696A7C">
      <w:pPr>
        <w:keepNext w:val="0"/>
        <w:keepLines w:val="0"/>
        <w:pageBreakBefore w:val="0"/>
        <w:widowControl w:val="0"/>
        <w:kinsoku/>
        <w:wordWrap/>
        <w:overflowPunct/>
        <w:topLinePunct w:val="0"/>
        <w:autoSpaceDE/>
        <w:autoSpaceDN/>
        <w:bidi w:val="0"/>
        <w:adjustRightInd/>
        <w:snapToGrid/>
        <w:spacing w:line="240" w:lineRule="auto"/>
        <w:ind w:leftChars="0" w:firstLine="0" w:firstLineChars="0"/>
        <w:textAlignment w:val="auto"/>
        <w:rPr>
          <w:rFonts w:hint="eastAsia" w:ascii="仿宋" w:hAnsi="仿宋" w:eastAsia="仿宋" w:cs="仿宋"/>
          <w:sz w:val="28"/>
          <w:szCs w:val="28"/>
        </w:rPr>
      </w:pPr>
    </w:p>
    <w:p w14:paraId="1125017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bookmarkStart w:id="2" w:name="OLE_LINK1"/>
      <w:r>
        <w:rPr>
          <w:rFonts w:hint="eastAsia" w:ascii="仿宋" w:hAnsi="仿宋" w:eastAsia="仿宋" w:cs="仿宋"/>
          <w:b/>
          <w:bCs w:val="0"/>
          <w:color w:val="000000" w:themeColor="text1"/>
          <w:sz w:val="28"/>
          <w:szCs w:val="28"/>
          <w:lang w:val="en-US" w:eastAsia="zh-CN"/>
          <w14:textFill>
            <w14:solidFill>
              <w14:schemeClr w14:val="tx1"/>
            </w14:solidFill>
          </w14:textFill>
        </w:rPr>
        <w:t>项目名称</w:t>
      </w:r>
    </w:p>
    <w:bookmarkEnd w:id="2"/>
    <w:p w14:paraId="594624EC">
      <w:pPr>
        <w:keepNext w:val="0"/>
        <w:keepLines w:val="0"/>
        <w:pageBreakBefore w:val="0"/>
        <w:widowControl w:val="0"/>
        <w:kinsoku/>
        <w:wordWrap/>
        <w:overflowPunct/>
        <w:topLinePunct w:val="0"/>
        <w:autoSpaceDE/>
        <w:autoSpaceDN/>
        <w:bidi w:val="0"/>
        <w:adjustRightInd/>
        <w:snapToGrid/>
        <w:spacing w:line="240" w:lineRule="auto"/>
        <w:ind w:leftChars="0" w:firstLine="0" w:firstLineChars="0"/>
        <w:textAlignment w:val="auto"/>
        <w:rPr>
          <w:rFonts w:hint="eastAsia" w:ascii="仿宋" w:hAnsi="仿宋" w:eastAsia="仿宋" w:cs="仿宋"/>
          <w:b w:val="0"/>
          <w:bCs/>
          <w:color w:val="000000" w:themeColor="text1"/>
          <w:sz w:val="28"/>
          <w:szCs w:val="28"/>
          <w:u w:val="single"/>
          <w:lang w:val="en-US" w:eastAsia="zh-CN"/>
          <w14:textFill>
            <w14:solidFill>
              <w14:schemeClr w14:val="tx1"/>
            </w14:solidFill>
          </w14:textFill>
        </w:rPr>
      </w:pPr>
      <w:r>
        <w:rPr>
          <w:rFonts w:hint="eastAsia" w:ascii="仿宋" w:hAnsi="仿宋" w:eastAsia="仿宋" w:cs="仿宋"/>
          <w:b w:val="0"/>
          <w:bCs/>
          <w:color w:val="000000" w:themeColor="text1"/>
          <w:sz w:val="28"/>
          <w:szCs w:val="28"/>
          <w:u w:val="single"/>
          <w:lang w:val="en-US" w:eastAsia="zh-CN"/>
          <w14:textFill>
            <w14:solidFill>
              <w14:schemeClr w14:val="tx1"/>
            </w14:solidFill>
          </w14:textFill>
        </w:rPr>
        <w:t>市乡投集团安全生产综合应急预案编制服务</w:t>
      </w:r>
    </w:p>
    <w:p w14:paraId="35910A3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招标（采购）概况</w:t>
      </w:r>
    </w:p>
    <w:p w14:paraId="3ADEFAE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项目背景与需求：为深入贯彻落实国家及地方关于安全生产的法律法规和政策要求，有效预防、应对和妥善处理各类安全生产事故及突发事件，提升海口市乡村振兴投资发展集团有限公司（以下简称市乡投集团）整体风险管控能力和应急处置水平，保障公司全体人员生命财产安全和生产经营活动稳定运行，市乡投集团决定启动《安全生产综合应急预案》的编制工作。本次招标（采购）旨在引入具备相应资质和丰富经验的专业技术服务机构，协助完成综合应急预案及相关配套文件的系统化、规范化、实战化编制任务。</w:t>
      </w:r>
    </w:p>
    <w:p w14:paraId="1CBED40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招标（采购）内容：开展《市乡投集团安全生产综合应急预案》的前期调研、编制、评审、备案等一系列工作，计划服务期：60天（具体以招标（采购）人要求为准）。</w:t>
      </w:r>
    </w:p>
    <w:p w14:paraId="2C9F328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最高控制价</w:t>
      </w:r>
    </w:p>
    <w:p w14:paraId="3D3CAD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招标（采购）控制价：本次市乡投集团《安全生产综合应急预案》编制服务采购控制价</w:t>
      </w:r>
      <w:r>
        <w:rPr>
          <w:rFonts w:hint="eastAsia" w:ascii="仿宋" w:hAnsi="仿宋" w:eastAsia="仿宋" w:cs="仿宋"/>
          <w:b w:val="0"/>
          <w:bCs/>
          <w:color w:val="000000" w:themeColor="text1"/>
          <w:sz w:val="28"/>
          <w:szCs w:val="28"/>
          <w:highlight w:val="none"/>
          <w:u w:val="none"/>
          <w:lang w:val="en-US" w:eastAsia="zh-CN"/>
          <w14:textFill>
            <w14:solidFill>
              <w14:schemeClr w14:val="tx1"/>
            </w14:solidFill>
          </w14:textFill>
        </w:rPr>
        <w:t>为</w:t>
      </w:r>
      <w:r>
        <w:rPr>
          <w:rFonts w:hint="eastAsia" w:ascii="仿宋" w:hAnsi="仿宋" w:eastAsia="仿宋" w:cs="仿宋"/>
          <w:b w:val="0"/>
          <w:bCs/>
          <w:color w:val="000000" w:themeColor="text1"/>
          <w:sz w:val="28"/>
          <w:szCs w:val="28"/>
          <w:highlight w:val="none"/>
          <w:u w:val="single"/>
          <w:lang w:val="en-US" w:eastAsia="zh-CN"/>
          <w14:textFill>
            <w14:solidFill>
              <w14:schemeClr w14:val="tx1"/>
            </w14:solidFill>
          </w14:textFill>
        </w:rPr>
        <w:t xml:space="preserve">  1.68万  </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元，大</w:t>
      </w:r>
      <w:r>
        <w:rPr>
          <w:rFonts w:hint="eastAsia" w:ascii="仿宋" w:hAnsi="仿宋" w:eastAsia="仿宋" w:cs="仿宋"/>
          <w:b w:val="0"/>
          <w:bCs/>
          <w:color w:val="000000" w:themeColor="text1"/>
          <w:sz w:val="28"/>
          <w:szCs w:val="28"/>
          <w:highlight w:val="none"/>
          <w:u w:val="none"/>
          <w:lang w:val="en-US" w:eastAsia="zh-CN"/>
          <w14:textFill>
            <w14:solidFill>
              <w14:schemeClr w14:val="tx1"/>
            </w14:solidFill>
          </w14:textFill>
        </w:rPr>
        <w:t>写</w:t>
      </w:r>
      <w:r>
        <w:rPr>
          <w:rFonts w:hint="eastAsia" w:ascii="仿宋" w:hAnsi="仿宋" w:eastAsia="仿宋" w:cs="仿宋"/>
          <w:b w:val="0"/>
          <w:bCs/>
          <w:color w:val="000000" w:themeColor="text1"/>
          <w:sz w:val="28"/>
          <w:szCs w:val="28"/>
          <w:highlight w:val="none"/>
          <w:u w:val="single"/>
          <w:lang w:val="en-US" w:eastAsia="zh-CN"/>
          <w14:textFill>
            <w14:solidFill>
              <w14:schemeClr w14:val="tx1"/>
            </w14:solidFill>
          </w14:textFill>
        </w:rPr>
        <w:t xml:space="preserve">  壹万陆仟捌佰元整  </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 xml:space="preserve">。 </w:t>
      </w:r>
    </w:p>
    <w:p w14:paraId="0EAB5C2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相关要求</w:t>
      </w:r>
    </w:p>
    <w:p w14:paraId="16BF632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供应商根据最高控制价进行下浮报价，响应报价不得超过或等于最高控制价，否则按废标处理。</w:t>
      </w:r>
    </w:p>
    <w:p w14:paraId="5719C2B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报价总价包含专家费、评审费、税费等一切相关费用。</w:t>
      </w:r>
    </w:p>
    <w:p w14:paraId="6EE8E7F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auto"/>
          <w:sz w:val="28"/>
          <w:szCs w:val="28"/>
          <w:lang w:val="en-US" w:eastAsia="zh-CN"/>
        </w:rPr>
        <w:t>不接受联合体投标，不允许分包。</w:t>
      </w:r>
    </w:p>
    <w:p w14:paraId="54815EF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响应时间</w:t>
      </w:r>
    </w:p>
    <w:p w14:paraId="78C6867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供应商根据我方招标（采购）文件要求提供详细报价。</w:t>
      </w:r>
    </w:p>
    <w:p w14:paraId="57CABF00">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提交响应文件截止时间:</w:t>
      </w:r>
      <w:r>
        <w:rPr>
          <w:rFonts w:hint="eastAsia" w:ascii="仿宋" w:hAnsi="仿宋" w:eastAsia="仿宋" w:cs="仿宋"/>
          <w:b w:val="0"/>
          <w:bCs/>
          <w:color w:val="000000" w:themeColor="text1"/>
          <w:sz w:val="28"/>
          <w:szCs w:val="28"/>
          <w:highlight w:val="none"/>
          <w:u w:val="single"/>
          <w:lang w:val="en-US" w:eastAsia="zh-CN"/>
          <w14:textFill>
            <w14:solidFill>
              <w14:schemeClr w14:val="tx1"/>
            </w14:solidFill>
          </w14:textFill>
        </w:rPr>
        <w:t>2025年7月3日17点30分</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(北京时间)，逾期不予受理。</w:t>
      </w:r>
    </w:p>
    <w:p w14:paraId="7A111E6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开标时间及地点</w:t>
      </w:r>
    </w:p>
    <w:p w14:paraId="66E92DBD">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该项目定于</w:t>
      </w:r>
      <w:r>
        <w:rPr>
          <w:rFonts w:hint="eastAsia" w:ascii="仿宋" w:hAnsi="仿宋" w:eastAsia="仿宋" w:cs="仿宋"/>
          <w:b w:val="0"/>
          <w:bCs/>
          <w:color w:val="auto"/>
          <w:sz w:val="28"/>
          <w:szCs w:val="28"/>
          <w:highlight w:val="none"/>
          <w:u w:val="single"/>
          <w:lang w:val="en-US" w:eastAsia="zh-CN"/>
        </w:rPr>
        <w:t>2025</w:t>
      </w:r>
      <w:r>
        <w:rPr>
          <w:rFonts w:hint="eastAsia" w:ascii="仿宋" w:hAnsi="仿宋" w:eastAsia="仿宋" w:cs="仿宋"/>
          <w:b w:val="0"/>
          <w:bCs/>
          <w:color w:val="auto"/>
          <w:sz w:val="28"/>
          <w:szCs w:val="28"/>
          <w:highlight w:val="none"/>
          <w:u w:val="single"/>
          <w:lang w:val="en-US" w:eastAsia="zh-CN"/>
        </w:rPr>
        <w:t>年7</w:t>
      </w:r>
      <w:bookmarkStart w:id="3" w:name="_GoBack"/>
      <w:bookmarkEnd w:id="3"/>
      <w:r>
        <w:rPr>
          <w:rFonts w:hint="eastAsia" w:ascii="仿宋" w:hAnsi="仿宋" w:eastAsia="仿宋" w:cs="仿宋"/>
          <w:b w:val="0"/>
          <w:bCs/>
          <w:color w:val="auto"/>
          <w:sz w:val="28"/>
          <w:szCs w:val="28"/>
          <w:highlight w:val="none"/>
          <w:u w:val="single"/>
          <w:lang w:val="en-US" w:eastAsia="zh-CN"/>
        </w:rPr>
        <w:t>月7日9时30分</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(北京时间)</w:t>
      </w:r>
      <w:r>
        <w:rPr>
          <w:rFonts w:hint="eastAsia" w:ascii="仿宋" w:hAnsi="仿宋" w:eastAsia="仿宋" w:cs="仿宋"/>
          <w:b w:val="0"/>
          <w:bCs/>
          <w:color w:val="auto"/>
          <w:sz w:val="28"/>
          <w:szCs w:val="28"/>
          <w:highlight w:val="none"/>
          <w:u w:val="none"/>
          <w:lang w:val="en-US" w:eastAsia="zh-CN"/>
        </w:rPr>
        <w:t>在</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海口市秀英区南海大道266号国家高新创业孵化中心2单元8楼第二会议室开</w:t>
      </w:r>
      <w:r>
        <w:rPr>
          <w:rFonts w:hint="eastAsia" w:ascii="仿宋" w:hAnsi="仿宋" w:eastAsia="仿宋" w:cs="仿宋"/>
          <w:b w:val="0"/>
          <w:bCs/>
          <w:color w:val="auto"/>
          <w:sz w:val="28"/>
          <w:szCs w:val="28"/>
          <w:highlight w:val="none"/>
          <w:u w:val="none"/>
          <w:lang w:val="en-US" w:eastAsia="zh-CN"/>
        </w:rPr>
        <w:t>标</w:t>
      </w:r>
      <w:r>
        <w:rPr>
          <w:rFonts w:hint="eastAsia" w:ascii="仿宋" w:hAnsi="仿宋" w:eastAsia="仿宋" w:cs="仿宋"/>
          <w:b w:val="0"/>
          <w:bCs/>
          <w:color w:val="auto"/>
          <w:sz w:val="28"/>
          <w:szCs w:val="28"/>
          <w:highlight w:val="none"/>
          <w:lang w:val="en-US" w:eastAsia="zh-CN"/>
        </w:rPr>
        <w:t>。</w:t>
      </w:r>
    </w:p>
    <w:p w14:paraId="6A5BB8A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bCs w:val="0"/>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sz w:val="28"/>
          <w:szCs w:val="28"/>
          <w:lang w:val="en-US" w:eastAsia="zh-CN"/>
          <w14:textFill>
            <w14:solidFill>
              <w14:schemeClr w14:val="tx1"/>
            </w14:solidFill>
          </w14:textFill>
        </w:rPr>
        <w:t>联系方式</w:t>
      </w:r>
    </w:p>
    <w:p w14:paraId="1D93AD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招标（采购）人：海口市乡村振兴投资发展集团有限公司</w:t>
      </w:r>
    </w:p>
    <w:p w14:paraId="0550C2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联系地址:海口市秀英区南海大道266号国家高新创业孵化中心2单元8楼</w:t>
      </w:r>
    </w:p>
    <w:p w14:paraId="74EB2E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电话：13700439308</w:t>
      </w:r>
    </w:p>
    <w:p w14:paraId="652036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邮箱：</w:t>
      </w:r>
      <w:r>
        <w:rPr>
          <w:rFonts w:hint="eastAsia" w:ascii="仿宋" w:hAnsi="仿宋" w:eastAsia="仿宋" w:cs="仿宋"/>
          <w:b w:val="0"/>
          <w:bCs/>
          <w:color w:val="auto"/>
          <w:sz w:val="28"/>
          <w:szCs w:val="28"/>
          <w:u w:val="none"/>
          <w:lang w:val="en-US" w:eastAsia="zh-CN"/>
        </w:rPr>
        <w:fldChar w:fldCharType="begin"/>
      </w:r>
      <w:r>
        <w:rPr>
          <w:rFonts w:hint="eastAsia" w:ascii="仿宋" w:hAnsi="仿宋" w:eastAsia="仿宋" w:cs="仿宋"/>
          <w:b w:val="0"/>
          <w:bCs/>
          <w:color w:val="auto"/>
          <w:sz w:val="28"/>
          <w:szCs w:val="28"/>
          <w:u w:val="none"/>
          <w:lang w:val="en-US" w:eastAsia="zh-CN"/>
        </w:rPr>
        <w:instrText xml:space="preserve"> HYPERLINK "mailto:stfagb@163.com" </w:instrText>
      </w:r>
      <w:r>
        <w:rPr>
          <w:rFonts w:hint="eastAsia" w:ascii="仿宋" w:hAnsi="仿宋" w:eastAsia="仿宋" w:cs="仿宋"/>
          <w:b w:val="0"/>
          <w:bCs/>
          <w:color w:val="auto"/>
          <w:sz w:val="28"/>
          <w:szCs w:val="28"/>
          <w:u w:val="none"/>
          <w:lang w:val="en-US" w:eastAsia="zh-CN"/>
        </w:rPr>
        <w:fldChar w:fldCharType="separate"/>
      </w:r>
      <w:r>
        <w:rPr>
          <w:rStyle w:val="18"/>
          <w:rFonts w:hint="eastAsia" w:ascii="仿宋" w:hAnsi="仿宋" w:eastAsia="仿宋" w:cs="仿宋"/>
          <w:b w:val="0"/>
          <w:bCs/>
          <w:color w:val="auto"/>
          <w:sz w:val="28"/>
          <w:szCs w:val="28"/>
          <w:u w:val="none"/>
          <w:lang w:val="en-US" w:eastAsia="zh-CN"/>
        </w:rPr>
        <w:t>stfagb@163.com</w:t>
      </w:r>
      <w:r>
        <w:rPr>
          <w:rFonts w:hint="eastAsia" w:ascii="仿宋" w:hAnsi="仿宋" w:eastAsia="仿宋" w:cs="仿宋"/>
          <w:b w:val="0"/>
          <w:bCs/>
          <w:color w:val="auto"/>
          <w:sz w:val="28"/>
          <w:szCs w:val="28"/>
          <w:u w:val="none"/>
          <w:lang w:val="en-US" w:eastAsia="zh-CN"/>
        </w:rPr>
        <w:fldChar w:fldCharType="end"/>
      </w:r>
    </w:p>
    <w:p w14:paraId="2B897C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联系人：张工</w:t>
      </w:r>
    </w:p>
    <w:p w14:paraId="25B0E9BC">
      <w:pPr>
        <w:spacing w:line="240" w:lineRule="auto"/>
        <w:ind w:leftChars="0" w:firstLine="0" w:firstLineChars="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br w:type="page"/>
      </w:r>
    </w:p>
    <w:p w14:paraId="0D89772A">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 w:hAnsi="仿宋" w:eastAsia="仿宋" w:cs="仿宋"/>
          <w:b/>
          <w:color w:val="000000" w:themeColor="text1"/>
          <w:sz w:val="44"/>
          <w:szCs w:val="44"/>
          <w:highlight w:val="none"/>
          <w:lang w:eastAsia="zh-CN"/>
          <w14:textFill>
            <w14:solidFill>
              <w14:schemeClr w14:val="tx1"/>
            </w14:solidFill>
          </w14:textFill>
        </w:rPr>
      </w:pPr>
      <w:r>
        <w:rPr>
          <w:rFonts w:hint="eastAsia" w:ascii="仿宋" w:hAnsi="仿宋" w:eastAsia="仿宋" w:cs="仿宋"/>
          <w:b/>
          <w:color w:val="000000" w:themeColor="text1"/>
          <w:sz w:val="44"/>
          <w:szCs w:val="44"/>
          <w:highlight w:val="none"/>
          <w:lang w:eastAsia="zh-CN"/>
          <w14:textFill>
            <w14:solidFill>
              <w14:schemeClr w14:val="tx1"/>
            </w14:solidFill>
          </w14:textFill>
        </w:rPr>
        <w:t>供应商须知</w:t>
      </w:r>
    </w:p>
    <w:p w14:paraId="234F24F1">
      <w:pPr>
        <w:keepNext w:val="0"/>
        <w:keepLines w:val="0"/>
        <w:pageBreakBefore w:val="0"/>
        <w:kinsoku/>
        <w:wordWrap/>
        <w:overflowPunct/>
        <w:topLinePunct w:val="0"/>
        <w:autoSpaceDE/>
        <w:autoSpaceDN/>
        <w:bidi w:val="0"/>
        <w:adjustRightInd/>
        <w:snapToGrid/>
        <w:spacing w:line="240" w:lineRule="auto"/>
        <w:ind w:leftChars="0" w:firstLine="0" w:firstLineChars="0"/>
        <w:textAlignment w:val="auto"/>
        <w:rPr>
          <w:rFonts w:hint="eastAsia" w:ascii="仿宋" w:hAnsi="仿宋" w:eastAsia="仿宋" w:cs="仿宋"/>
          <w:b/>
          <w:color w:val="000000" w:themeColor="text1"/>
          <w:sz w:val="28"/>
          <w:szCs w:val="28"/>
          <w14:textFill>
            <w14:solidFill>
              <w14:schemeClr w14:val="tx1"/>
            </w14:solidFill>
          </w14:textFill>
        </w:rPr>
      </w:pPr>
    </w:p>
    <w:p w14:paraId="6D227F2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总则</w:t>
      </w:r>
    </w:p>
    <w:p w14:paraId="1E363492">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适用范围</w:t>
      </w:r>
    </w:p>
    <w:p w14:paraId="58464CBE">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0"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本招标（采购）文件仅适用于本次招标（采购）所叙述的服务项目。</w:t>
      </w:r>
    </w:p>
    <w:p w14:paraId="2CA77DBB">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合格的供应商（提交资料要求详见第四部分“五、资格证明文件”）</w:t>
      </w:r>
    </w:p>
    <w:p w14:paraId="5FEED155">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0"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资质条件：营业执照,具备独立法人资格；</w:t>
      </w:r>
    </w:p>
    <w:p w14:paraId="11877AE9">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0" w:leftChars="0" w:firstLine="840" w:firstLineChars="3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在海南省内具有独立办公场所；</w:t>
      </w:r>
    </w:p>
    <w:p w14:paraId="5BCBD344">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0" w:leftChars="0" w:firstLine="840" w:firstLineChars="3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2022年以来承接过3个以上（含3个）类似的相关项目业绩；</w:t>
      </w:r>
    </w:p>
    <w:p w14:paraId="462C1F54">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0" w:leftChars="0" w:firstLine="840" w:firstLineChars="3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不存在不良行为或信用记录；</w:t>
      </w:r>
    </w:p>
    <w:p w14:paraId="2FC48C66">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0" w:leftChars="0" w:firstLine="840" w:firstLineChars="300"/>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没有处于被责令停业，投标资格被取消，财产被接管、冻结，破产，在最近三年内没有骗取中标和严重违约及重大服务质量问题。</w:t>
      </w:r>
    </w:p>
    <w:p w14:paraId="03B549FF">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法律适用</w:t>
      </w:r>
    </w:p>
    <w:p w14:paraId="6534F63A">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本次招标（采购）活动及由本次招标（采购）产生的合同受中华人民共和国的法律制约和保护。 </w:t>
      </w:r>
    </w:p>
    <w:p w14:paraId="1CFF6EE5">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招标（采购）文件</w:t>
      </w:r>
    </w:p>
    <w:p w14:paraId="2ABA0B92">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招标（采购）文件的组成</w:t>
      </w:r>
    </w:p>
    <w:p w14:paraId="47C17CCC">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招标（采购）文件由五部分组成，包括：</w:t>
      </w:r>
    </w:p>
    <w:p w14:paraId="041ACE2C">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邀请函</w:t>
      </w:r>
    </w:p>
    <w:p w14:paraId="26B19D4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供应商须知</w:t>
      </w:r>
    </w:p>
    <w:p w14:paraId="27384622">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合同条款</w:t>
      </w:r>
    </w:p>
    <w:p w14:paraId="40DD37C9">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响应文件内容和格式</w:t>
      </w:r>
    </w:p>
    <w:p w14:paraId="1D09645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评标办法</w:t>
      </w:r>
    </w:p>
    <w:p w14:paraId="65ECE83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响应文件</w:t>
      </w:r>
    </w:p>
    <w:p w14:paraId="095CF679">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响应文件的语言及度量衡</w:t>
      </w:r>
    </w:p>
    <w:p w14:paraId="56F8E631">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提交的响应文件以及供应商与招标（采购）单位就有关响应的所有来往书面文件均须使用中文（语言文件）。响应文件中如附有外文资料，必须逐一对应翻译成中文并加盖供应商公章后附在相关外文资料后面，否则，供应商的响应文件将作为无效响应处理。</w:t>
      </w:r>
    </w:p>
    <w:p w14:paraId="75D9CACD">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供应商已印刷好的资料如产品样本、说明书等可以用其他语言，但其中要点应附有中文译文。在解释响应文件时，以译文为准。</w:t>
      </w:r>
    </w:p>
    <w:p w14:paraId="560622F5">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除在招标（采购）文件中另有规定外，度量衡单位应使用国际单位制。</w:t>
      </w:r>
    </w:p>
    <w:p w14:paraId="3E519D51">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本招标（采购）文件所表述的时间均为北京时间。</w:t>
      </w:r>
    </w:p>
    <w:p w14:paraId="61A0928D">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响应文件的组成</w:t>
      </w:r>
    </w:p>
    <w:p w14:paraId="1C02F5A4">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响应文件应包括下列部分（目录及有关格式按招标（采购）文件第四部分</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“响应文件内容和格式”</w:t>
      </w:r>
      <w:r>
        <w:rPr>
          <w:rFonts w:hint="eastAsia" w:ascii="仿宋" w:hAnsi="仿宋" w:eastAsia="仿宋" w:cs="仿宋"/>
          <w:color w:val="000000" w:themeColor="text1"/>
          <w:sz w:val="28"/>
          <w:szCs w:val="28"/>
          <w:highlight w:val="none"/>
          <w:lang w:val="en-US" w:eastAsia="zh-CN"/>
          <w14:textFill>
            <w14:solidFill>
              <w14:schemeClr w14:val="tx1"/>
            </w14:solidFill>
          </w14:textFill>
        </w:rPr>
        <w:t>要求编制）：</w:t>
      </w:r>
    </w:p>
    <w:p w14:paraId="724656B0">
      <w:pPr>
        <w:keepNext w:val="0"/>
        <w:keepLines w:val="0"/>
        <w:pageBreakBefore w:val="0"/>
        <w:widowControl w:val="0"/>
        <w:numPr>
          <w:ilvl w:val="2"/>
          <w:numId w:val="7"/>
        </w:numPr>
        <w:kinsoku/>
        <w:wordWrap/>
        <w:overflowPunct/>
        <w:topLinePunct w:val="0"/>
        <w:autoSpaceDE/>
        <w:autoSpaceDN/>
        <w:bidi w:val="0"/>
        <w:adjustRightInd/>
        <w:snapToGrid/>
        <w:spacing w:line="240" w:lineRule="auto"/>
        <w:ind w:left="0"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响应函、响应报价及相关证明文件。</w:t>
      </w:r>
    </w:p>
    <w:p w14:paraId="3E79093F">
      <w:pPr>
        <w:keepNext w:val="0"/>
        <w:keepLines w:val="0"/>
        <w:pageBreakBefore w:val="0"/>
        <w:widowControl w:val="0"/>
        <w:numPr>
          <w:ilvl w:val="2"/>
          <w:numId w:val="7"/>
        </w:numPr>
        <w:kinsoku/>
        <w:wordWrap/>
        <w:overflowPunct/>
        <w:topLinePunct w:val="0"/>
        <w:autoSpaceDE/>
        <w:autoSpaceDN/>
        <w:bidi w:val="0"/>
        <w:adjustRightInd/>
        <w:snapToGrid/>
        <w:spacing w:line="240" w:lineRule="auto"/>
        <w:ind w:left="0"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供应商资格证明文件。</w:t>
      </w:r>
    </w:p>
    <w:p w14:paraId="45DAFF85">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若供应商未按招标（采购）文件的要求提供资料，或未对采购文件做出实质性响应，将导致响应文件被视为无效。</w:t>
      </w:r>
    </w:p>
    <w:p w14:paraId="4D9CB367">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响应文件报价</w:t>
      </w:r>
    </w:p>
    <w:p w14:paraId="6A5264FA">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本次</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default" w:ascii="仿宋" w:hAnsi="仿宋" w:eastAsia="仿宋" w:cs="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default" w:ascii="仿宋" w:hAnsi="仿宋" w:eastAsia="仿宋" w:cs="仿宋"/>
          <w:color w:val="000000" w:themeColor="text1"/>
          <w:sz w:val="28"/>
          <w:szCs w:val="28"/>
          <w:highlight w:val="none"/>
          <w:lang w:val="en-US" w:eastAsia="zh-CN"/>
          <w14:textFill>
            <w14:solidFill>
              <w14:schemeClr w14:val="tx1"/>
            </w14:solidFill>
          </w14:textFill>
        </w:rPr>
        <w:t>采用总承包方式，因此供应商的报价应包括全部服务的价格及相关税费、专家费、</w:t>
      </w:r>
      <w:r>
        <w:rPr>
          <w:rFonts w:hint="eastAsia" w:ascii="仿宋" w:hAnsi="仿宋" w:eastAsia="仿宋" w:cs="仿宋"/>
          <w:color w:val="000000" w:themeColor="text1"/>
          <w:sz w:val="28"/>
          <w:szCs w:val="28"/>
          <w:highlight w:val="none"/>
          <w:lang w:val="en-US" w:eastAsia="zh-CN"/>
          <w14:textFill>
            <w14:solidFill>
              <w14:schemeClr w14:val="tx1"/>
            </w14:solidFill>
          </w14:textFill>
        </w:rPr>
        <w:t>评审费、备案费以及</w:t>
      </w:r>
      <w:r>
        <w:rPr>
          <w:rFonts w:hint="default" w:ascii="仿宋" w:hAnsi="仿宋" w:eastAsia="仿宋" w:cs="仿宋"/>
          <w:color w:val="000000" w:themeColor="text1"/>
          <w:sz w:val="28"/>
          <w:szCs w:val="28"/>
          <w:highlight w:val="none"/>
          <w:lang w:val="en-US" w:eastAsia="zh-CN"/>
          <w14:textFill>
            <w14:solidFill>
              <w14:schemeClr w14:val="tx1"/>
            </w14:solidFill>
          </w14:textFill>
        </w:rPr>
        <w:t>售后服务等其他有关的费用。</w:t>
      </w:r>
    </w:p>
    <w:p w14:paraId="1F29DE6C">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招标（</w:t>
      </w:r>
      <w:r>
        <w:rPr>
          <w:rFonts w:hint="default" w:ascii="仿宋" w:hAnsi="仿宋" w:eastAsia="仿宋" w:cs="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default" w:ascii="仿宋" w:hAnsi="仿宋" w:eastAsia="仿宋" w:cs="仿宋"/>
          <w:color w:val="000000" w:themeColor="text1"/>
          <w:sz w:val="28"/>
          <w:szCs w:val="28"/>
          <w:highlight w:val="none"/>
          <w:lang w:val="en-US" w:eastAsia="zh-CN"/>
          <w14:textFill>
            <w14:solidFill>
              <w14:schemeClr w14:val="tx1"/>
            </w14:solidFill>
          </w14:textFill>
        </w:rPr>
        <w:t>人不接受任何有选择的报价，必须是唯一报价。</w:t>
      </w:r>
    </w:p>
    <w:p w14:paraId="512B68A9">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响应文件货币</w:t>
      </w:r>
    </w:p>
    <w:p w14:paraId="129E4107">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响应报价均须以人民币为计算单位。</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招标（采购）</w:t>
      </w:r>
      <w:r>
        <w:rPr>
          <w:rFonts w:hint="default" w:ascii="仿宋" w:hAnsi="仿宋" w:eastAsia="仿宋" w:cs="仿宋"/>
          <w:color w:val="000000" w:themeColor="text1"/>
          <w:sz w:val="28"/>
          <w:szCs w:val="28"/>
          <w:highlight w:val="none"/>
          <w:lang w:val="en-US" w:eastAsia="zh-CN"/>
          <w14:textFill>
            <w14:solidFill>
              <w14:schemeClr w14:val="tx1"/>
            </w14:solidFill>
          </w14:textFill>
        </w:rPr>
        <w:t>文件另有规定的，从其规定。</w:t>
      </w:r>
    </w:p>
    <w:p w14:paraId="07324B4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响应文件的数量、签署及形式</w:t>
      </w:r>
    </w:p>
    <w:p w14:paraId="1C6738A3">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响应文件一份，用A4纸编制装订成册。</w:t>
      </w:r>
    </w:p>
    <w:p w14:paraId="24CA921F">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响应文件中文字材料需打印或用不褪色墨水书写。</w:t>
      </w:r>
    </w:p>
    <w:p w14:paraId="0C8C6E7B">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响应文件如有错误必须修改时，修改处须由法人代表或授权代表签名或加盖公章。</w:t>
      </w:r>
    </w:p>
    <w:p w14:paraId="252C7EC8">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响应文件的递交</w:t>
      </w:r>
    </w:p>
    <w:p w14:paraId="3E98A60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响应文件的密封及标记</w:t>
      </w:r>
    </w:p>
    <w:p w14:paraId="756EF484">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供应商应将响应文件密封在响应专用袋（箱）中，并在响应专用袋（箱）上封口处应加盖骑缝章。</w:t>
      </w:r>
    </w:p>
    <w:p w14:paraId="3679F2F5">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响应专用袋（箱）上须注明：</w:t>
      </w:r>
    </w:p>
    <w:p w14:paraId="09DA6984">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招标（采购）项目名称；</w:t>
      </w:r>
    </w:p>
    <w:p w14:paraId="6ED792C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供应商的名称、地址、联系人和电话。</w:t>
      </w:r>
    </w:p>
    <w:p w14:paraId="0F9BA9B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迟交的响应文件</w:t>
      </w:r>
    </w:p>
    <w:p w14:paraId="5E186F7E">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在响应截止时间后递交的响应文件，招标（采购）人将拒绝接受。</w:t>
      </w:r>
    </w:p>
    <w:p w14:paraId="61AA5999">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开标及评标</w:t>
      </w:r>
    </w:p>
    <w:p w14:paraId="019DBF60">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开标</w:t>
      </w:r>
    </w:p>
    <w:p w14:paraId="3C2FC155">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开标时，</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招标（采购）</w:t>
      </w:r>
      <w:r>
        <w:rPr>
          <w:rFonts w:hint="default" w:ascii="仿宋" w:hAnsi="仿宋" w:eastAsia="仿宋" w:cs="仿宋"/>
          <w:color w:val="000000" w:themeColor="text1"/>
          <w:sz w:val="28"/>
          <w:szCs w:val="28"/>
          <w:highlight w:val="none"/>
          <w:lang w:val="en-US" w:eastAsia="zh-CN"/>
          <w14:textFill>
            <w14:solidFill>
              <w14:schemeClr w14:val="tx1"/>
            </w14:solidFill>
          </w14:textFill>
        </w:rPr>
        <w:t>人、监督人将查验响应文件密封情况，确认无误后拆封唱标，公布每份响应文件中“报价函”的内容，以及</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招标（采购）</w:t>
      </w:r>
      <w:r>
        <w:rPr>
          <w:rFonts w:hint="default" w:ascii="仿宋" w:hAnsi="仿宋" w:eastAsia="仿宋" w:cs="仿宋"/>
          <w:color w:val="000000" w:themeColor="text1"/>
          <w:sz w:val="28"/>
          <w:szCs w:val="28"/>
          <w:highlight w:val="none"/>
          <w:lang w:val="en-US" w:eastAsia="zh-CN"/>
          <w14:textFill>
            <w14:solidFill>
              <w14:schemeClr w14:val="tx1"/>
            </w14:solidFill>
          </w14:textFill>
        </w:rPr>
        <w:t>人认为合适的其他内容，</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招标（采购）</w:t>
      </w:r>
      <w:r>
        <w:rPr>
          <w:rFonts w:hint="default" w:ascii="仿宋" w:hAnsi="仿宋" w:eastAsia="仿宋" w:cs="仿宋"/>
          <w:color w:val="000000" w:themeColor="text1"/>
          <w:sz w:val="28"/>
          <w:szCs w:val="28"/>
          <w:highlight w:val="none"/>
          <w:lang w:val="en-US" w:eastAsia="zh-CN"/>
          <w14:textFill>
            <w14:solidFill>
              <w14:schemeClr w14:val="tx1"/>
            </w14:solidFill>
          </w14:textFill>
        </w:rPr>
        <w:t>人将作开标记录。</w:t>
      </w:r>
    </w:p>
    <w:p w14:paraId="5F94E4AC">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若响应文件未密封，</w:t>
      </w:r>
      <w:r>
        <w:rPr>
          <w:rFonts w:hint="eastAsia" w:ascii="仿宋" w:hAnsi="仿宋" w:eastAsia="仿宋" w:cs="仿宋"/>
          <w:color w:val="000000" w:themeColor="text1"/>
          <w:sz w:val="28"/>
          <w:szCs w:val="28"/>
          <w:highlight w:val="none"/>
          <w:lang w:val="en-US" w:eastAsia="zh-CN"/>
          <w14:textFill>
            <w14:solidFill>
              <w14:schemeClr w14:val="tx1"/>
            </w14:solidFill>
          </w14:textFill>
        </w:rPr>
        <w:t>招标（采购）</w:t>
      </w:r>
      <w:r>
        <w:rPr>
          <w:rFonts w:hint="default" w:ascii="仿宋" w:hAnsi="仿宋" w:eastAsia="仿宋" w:cs="仿宋"/>
          <w:color w:val="000000" w:themeColor="text1"/>
          <w:sz w:val="28"/>
          <w:szCs w:val="28"/>
          <w:highlight w:val="none"/>
          <w:lang w:val="en-US" w:eastAsia="zh-CN"/>
          <w14:textFill>
            <w14:solidFill>
              <w14:schemeClr w14:val="tx1"/>
            </w14:solidFill>
          </w14:textFill>
        </w:rPr>
        <w:t>人将拒绝接受该供应商的响应文件。</w:t>
      </w:r>
    </w:p>
    <w:p w14:paraId="4B2ACD7F">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评选小组</w:t>
      </w:r>
    </w:p>
    <w:p w14:paraId="741E207D">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委派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5  </w:t>
      </w:r>
      <w:r>
        <w:rPr>
          <w:rFonts w:hint="default" w:ascii="仿宋" w:hAnsi="仿宋" w:eastAsia="仿宋" w:cs="仿宋"/>
          <w:color w:val="000000" w:themeColor="text1"/>
          <w:sz w:val="28"/>
          <w:szCs w:val="28"/>
          <w:highlight w:val="none"/>
          <w:lang w:val="en-US" w:eastAsia="zh-CN"/>
          <w14:textFill>
            <w14:solidFill>
              <w14:schemeClr w14:val="tx1"/>
            </w14:solidFill>
          </w14:textFill>
        </w:rPr>
        <w:t>名人员组成评选小组，该评选小组独立工作，负责评审所有响应文件并确定成交人。</w:t>
      </w:r>
    </w:p>
    <w:p w14:paraId="29513EAB">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对响应文件的符合性审查</w:t>
      </w:r>
    </w:p>
    <w:p w14:paraId="3DB23503">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符合性审查的内容包括：详见</w:t>
      </w:r>
      <w:r>
        <w:rPr>
          <w:rFonts w:hint="eastAsia" w:ascii="仿宋" w:hAnsi="仿宋" w:eastAsia="仿宋" w:cs="仿宋"/>
          <w:color w:val="000000" w:themeColor="text1"/>
          <w:sz w:val="28"/>
          <w:szCs w:val="28"/>
          <w:highlight w:val="none"/>
          <w:lang w:val="en-US" w:eastAsia="zh-CN"/>
          <w14:textFill>
            <w14:solidFill>
              <w14:schemeClr w14:val="tx1"/>
            </w14:solidFill>
          </w14:textFill>
        </w:rPr>
        <w:t>第五部分《</w:t>
      </w:r>
      <w:r>
        <w:rPr>
          <w:rFonts w:hint="default" w:ascii="仿宋" w:hAnsi="仿宋" w:eastAsia="仿宋" w:cs="仿宋"/>
          <w:color w:val="000000" w:themeColor="text1"/>
          <w:sz w:val="28"/>
          <w:szCs w:val="28"/>
          <w:highlight w:val="none"/>
          <w:lang w:val="en-US" w:eastAsia="zh-CN"/>
          <w14:textFill>
            <w14:solidFill>
              <w14:schemeClr w14:val="tx1"/>
            </w14:solidFill>
          </w14:textFill>
        </w:rPr>
        <w:t>符合性审查表</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default" w:ascii="仿宋" w:hAnsi="仿宋" w:eastAsia="仿宋" w:cs="仿宋"/>
          <w:color w:val="000000" w:themeColor="text1"/>
          <w:sz w:val="28"/>
          <w:szCs w:val="28"/>
          <w:highlight w:val="none"/>
          <w:lang w:val="en-US" w:eastAsia="zh-CN"/>
          <w14:textFill>
            <w14:solidFill>
              <w14:schemeClr w14:val="tx1"/>
            </w14:solidFill>
          </w14:textFill>
        </w:rPr>
        <w:t>。</w:t>
      </w:r>
    </w:p>
    <w:p w14:paraId="702C2082">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符合性审查的内容只要有一条不满足，则响应文件无效。</w:t>
      </w:r>
    </w:p>
    <w:p w14:paraId="6F5F776E">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评选小组在初审中，对算术错误的修正原则如下:</w:t>
      </w:r>
    </w:p>
    <w:p w14:paraId="699EDE02">
      <w:pPr>
        <w:keepNext w:val="0"/>
        <w:keepLines w:val="0"/>
        <w:pageBreakBefore w:val="0"/>
        <w:widowControl w:val="0"/>
        <w:numPr>
          <w:ilvl w:val="2"/>
          <w:numId w:val="7"/>
        </w:numPr>
        <w:kinsoku/>
        <w:wordWrap/>
        <w:overflowPunct/>
        <w:topLinePunct w:val="0"/>
        <w:autoSpaceDE/>
        <w:autoSpaceDN/>
        <w:bidi w:val="0"/>
        <w:adjustRightInd/>
        <w:snapToGrid/>
        <w:spacing w:line="240" w:lineRule="auto"/>
        <w:ind w:left="0" w:leftChars="0" w:firstLine="1120" w:firstLineChars="4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响应文件的大写金额和小写金额不一致的，以大写金额为准；</w:t>
      </w:r>
    </w:p>
    <w:p w14:paraId="29DDD857">
      <w:pPr>
        <w:keepNext w:val="0"/>
        <w:keepLines w:val="0"/>
        <w:pageBreakBefore w:val="0"/>
        <w:widowControl w:val="0"/>
        <w:numPr>
          <w:ilvl w:val="2"/>
          <w:numId w:val="7"/>
        </w:numPr>
        <w:kinsoku/>
        <w:wordWrap/>
        <w:overflowPunct/>
        <w:topLinePunct w:val="0"/>
        <w:autoSpaceDE/>
        <w:autoSpaceDN/>
        <w:bidi w:val="0"/>
        <w:adjustRightInd/>
        <w:snapToGrid/>
        <w:spacing w:line="240" w:lineRule="auto"/>
        <w:ind w:left="0" w:leftChars="0" w:firstLine="1120" w:firstLineChars="4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总价金额与按单价汇总金额不一致的，以单价金额计算结果为准；</w:t>
      </w:r>
    </w:p>
    <w:p w14:paraId="1ED9FEC9">
      <w:pPr>
        <w:keepNext w:val="0"/>
        <w:keepLines w:val="0"/>
        <w:pageBreakBefore w:val="0"/>
        <w:widowControl w:val="0"/>
        <w:numPr>
          <w:ilvl w:val="2"/>
          <w:numId w:val="7"/>
        </w:numPr>
        <w:kinsoku/>
        <w:wordWrap/>
        <w:overflowPunct/>
        <w:topLinePunct w:val="0"/>
        <w:autoSpaceDE/>
        <w:autoSpaceDN/>
        <w:bidi w:val="0"/>
        <w:adjustRightInd/>
        <w:snapToGrid/>
        <w:spacing w:line="240" w:lineRule="auto"/>
        <w:ind w:left="0" w:leftChars="0" w:firstLine="1120" w:firstLineChars="4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单价金额小数点有明显错位的，以总价为准并修改单价</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4034C896">
      <w:pPr>
        <w:keepNext w:val="0"/>
        <w:keepLines w:val="0"/>
        <w:pageBreakBefore w:val="0"/>
        <w:widowControl w:val="0"/>
        <w:numPr>
          <w:ilvl w:val="2"/>
          <w:numId w:val="7"/>
        </w:numPr>
        <w:kinsoku/>
        <w:wordWrap/>
        <w:overflowPunct/>
        <w:topLinePunct w:val="0"/>
        <w:autoSpaceDE/>
        <w:autoSpaceDN/>
        <w:bidi w:val="0"/>
        <w:adjustRightInd/>
        <w:snapToGrid/>
        <w:spacing w:line="240" w:lineRule="auto"/>
        <w:ind w:left="0" w:leftChars="0" w:firstLine="1120" w:firstLineChars="4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总价金额（或单价金额）与控制价*（1-下浮率）结果不一致的，以控制价*（1-下浮率）计算结果为准；</w:t>
      </w:r>
    </w:p>
    <w:p w14:paraId="5A7ED8AC">
      <w:pPr>
        <w:keepNext w:val="0"/>
        <w:keepLines w:val="0"/>
        <w:pageBreakBefore w:val="0"/>
        <w:widowControl w:val="0"/>
        <w:numPr>
          <w:ilvl w:val="2"/>
          <w:numId w:val="7"/>
        </w:numPr>
        <w:kinsoku/>
        <w:wordWrap/>
        <w:overflowPunct/>
        <w:topLinePunct w:val="0"/>
        <w:autoSpaceDE/>
        <w:autoSpaceDN/>
        <w:bidi w:val="0"/>
        <w:adjustRightInd/>
        <w:snapToGrid/>
        <w:spacing w:line="240" w:lineRule="auto"/>
        <w:ind w:left="0" w:leftChars="0" w:firstLine="1120" w:firstLineChars="4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若供应商不同意以上修正，响应文件将视为无效。</w:t>
      </w:r>
    </w:p>
    <w:p w14:paraId="54BEC0D8">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响应文件的澄清</w:t>
      </w:r>
    </w:p>
    <w:p w14:paraId="768C0F36">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在评标期间，评选小组有权要求供应商对其响应文件中含义不明确、同类问题表述不一致或者有明显文字和计算错误的内容进行澄清。供应商应派授权代表和技术人员按评选小组通知的时间和地点接受询标。</w:t>
      </w:r>
    </w:p>
    <w:p w14:paraId="7ED13342">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评选小组认为有必要，可要求供应商对某些问题作出必要的澄清、说明和纠正。供应商的澄清、说明或者补正应当采用书面形式，由其授权的代表签字，并不得超出响应文件的范围或者改变响应文件的实质性内容。供应商的书面澄清材料作为响应文件的补充。</w:t>
      </w:r>
    </w:p>
    <w:p w14:paraId="5D8B1BE4">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响应供应商不按评选小组规定的时间和地点作书面澄清，将视为放弃该权利。</w:t>
      </w:r>
    </w:p>
    <w:p w14:paraId="041485B6">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并非每个供应商都将被询标。</w:t>
      </w:r>
    </w:p>
    <w:p w14:paraId="41F9357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评标及定标</w:t>
      </w:r>
    </w:p>
    <w:p w14:paraId="108ACF7A">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评选小组分别对通过</w:t>
      </w:r>
      <w:r>
        <w:rPr>
          <w:rFonts w:hint="default" w:ascii="仿宋" w:hAnsi="仿宋" w:eastAsia="仿宋" w:cs="仿宋"/>
          <w:b/>
          <w:bCs/>
          <w:color w:val="000000" w:themeColor="text1"/>
          <w:sz w:val="28"/>
          <w:szCs w:val="28"/>
          <w:highlight w:val="none"/>
          <w:lang w:val="en-US" w:eastAsia="zh-CN"/>
          <w14:textFill>
            <w14:solidFill>
              <w14:schemeClr w14:val="tx1"/>
            </w14:solidFill>
          </w14:textFill>
        </w:rPr>
        <w:t>资格性审查</w:t>
      </w:r>
      <w:r>
        <w:rPr>
          <w:rFonts w:hint="default" w:ascii="仿宋" w:hAnsi="仿宋" w:eastAsia="仿宋" w:cs="仿宋"/>
          <w:color w:val="000000" w:themeColor="text1"/>
          <w:sz w:val="28"/>
          <w:szCs w:val="28"/>
          <w:highlight w:val="none"/>
          <w:lang w:val="en-US" w:eastAsia="zh-CN"/>
          <w14:textFill>
            <w14:solidFill>
              <w14:schemeClr w14:val="tx1"/>
            </w14:solidFill>
          </w14:textFill>
        </w:rPr>
        <w:t>和</w:t>
      </w:r>
      <w:r>
        <w:rPr>
          <w:rFonts w:hint="default" w:ascii="仿宋" w:hAnsi="仿宋" w:eastAsia="仿宋" w:cs="仿宋"/>
          <w:b/>
          <w:bCs/>
          <w:color w:val="000000" w:themeColor="text1"/>
          <w:sz w:val="28"/>
          <w:szCs w:val="28"/>
          <w:highlight w:val="none"/>
          <w:lang w:val="en-US" w:eastAsia="zh-CN"/>
          <w14:textFill>
            <w14:solidFill>
              <w14:schemeClr w14:val="tx1"/>
            </w14:solidFill>
          </w14:textFill>
        </w:rPr>
        <w:t>符合性审查</w:t>
      </w:r>
      <w:r>
        <w:rPr>
          <w:rFonts w:hint="default" w:ascii="仿宋" w:hAnsi="仿宋" w:eastAsia="仿宋" w:cs="仿宋"/>
          <w:color w:val="000000" w:themeColor="text1"/>
          <w:sz w:val="28"/>
          <w:szCs w:val="28"/>
          <w:highlight w:val="none"/>
          <w:lang w:val="en-US" w:eastAsia="zh-CN"/>
          <w14:textFill>
            <w14:solidFill>
              <w14:schemeClr w14:val="tx1"/>
            </w14:solidFill>
          </w14:textFill>
        </w:rPr>
        <w:t>的响应文件进行评审。</w:t>
      </w:r>
    </w:p>
    <w:p w14:paraId="32A0E9D5">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default" w:ascii="仿宋" w:hAnsi="仿宋" w:eastAsia="仿宋" w:cs="仿宋"/>
          <w:color w:val="000000" w:themeColor="text1"/>
          <w:sz w:val="28"/>
          <w:szCs w:val="28"/>
          <w:highlight w:val="none"/>
          <w:lang w:val="en-US" w:eastAsia="zh-CN"/>
          <w14:textFill>
            <w14:solidFill>
              <w14:schemeClr w14:val="tx1"/>
            </w14:solidFill>
          </w14:textFill>
        </w:rPr>
        <w:t>在通过</w:t>
      </w:r>
      <w:r>
        <w:rPr>
          <w:rFonts w:hint="eastAsia" w:ascii="仿宋" w:hAnsi="仿宋" w:eastAsia="仿宋" w:cs="仿宋"/>
          <w:color w:val="000000" w:themeColor="text1"/>
          <w:sz w:val="28"/>
          <w:szCs w:val="28"/>
          <w:highlight w:val="none"/>
          <w:lang w:val="en-US" w:eastAsia="zh-CN"/>
          <w14:textFill>
            <w14:solidFill>
              <w14:schemeClr w14:val="tx1"/>
            </w14:solidFill>
          </w14:textFill>
        </w:rPr>
        <w:t>16.1条审查</w:t>
      </w:r>
      <w:r>
        <w:rPr>
          <w:rFonts w:hint="default" w:ascii="仿宋" w:hAnsi="仿宋" w:eastAsia="仿宋" w:cs="仿宋"/>
          <w:color w:val="000000" w:themeColor="text1"/>
          <w:sz w:val="28"/>
          <w:szCs w:val="28"/>
          <w:highlight w:val="none"/>
          <w:lang w:val="en-US" w:eastAsia="zh-CN"/>
          <w14:textFill>
            <w14:solidFill>
              <w14:schemeClr w14:val="tx1"/>
            </w14:solidFill>
          </w14:textFill>
        </w:rPr>
        <w:t>的基础上</w:t>
      </w:r>
      <w:r>
        <w:rPr>
          <w:rFonts w:hint="eastAsia" w:ascii="仿宋" w:hAnsi="仿宋" w:eastAsia="仿宋" w:cs="仿宋"/>
          <w:color w:val="000000" w:themeColor="text1"/>
          <w:sz w:val="28"/>
          <w:szCs w:val="28"/>
          <w:highlight w:val="none"/>
          <w:lang w:val="en-US" w:eastAsia="zh-CN"/>
          <w14:textFill>
            <w14:solidFill>
              <w14:schemeClr w14:val="tx1"/>
            </w14:solidFill>
          </w14:textFill>
        </w:rPr>
        <w:t>评选小组对响应文件进行比价</w:t>
      </w:r>
      <w:r>
        <w:rPr>
          <w:rFonts w:hint="default" w:ascii="仿宋" w:hAnsi="仿宋" w:eastAsia="仿宋" w:cs="仿宋"/>
          <w:color w:val="000000" w:themeColor="text1"/>
          <w:sz w:val="28"/>
          <w:szCs w:val="28"/>
          <w:highlight w:val="none"/>
          <w:lang w:val="en-US" w:eastAsia="zh-CN"/>
          <w14:textFill>
            <w14:solidFill>
              <w14:schemeClr w14:val="tx1"/>
            </w14:solidFill>
          </w14:textFill>
        </w:rPr>
        <w:t>，选择报价最低者为成交供应商。当存在多家单位同为最低价时，由评选小组根据同为最低价的单位情况综合评定实力最优者为成交供应商。</w:t>
      </w:r>
    </w:p>
    <w:p w14:paraId="2B476079">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评标过程保密</w:t>
      </w:r>
    </w:p>
    <w:p w14:paraId="4AB59C48">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在宣布成交结果之前，凡属于审查、澄清、评价、比较响应文件和成交意向等有关信息，相关当事人均不得泄露给任何供应商或与评标工作无关的人员。</w:t>
      </w:r>
    </w:p>
    <w:p w14:paraId="42DCC3A2">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供应商不得探听上述信息，不得以任何行为影响评标过程，否则其响应文件将被作为无效响应文件。</w:t>
      </w:r>
    </w:p>
    <w:p w14:paraId="4BC0BA2B">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在评标期间，招标（采购）人将有专门人员与供应商进行联络。</w:t>
      </w:r>
    </w:p>
    <w:p w14:paraId="4B910CC3">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招标（采购）人和评选小组不向落标的供应商解释落标原因，也不对评标过程中的细节问题进行公布。</w:t>
      </w:r>
    </w:p>
    <w:p w14:paraId="12A51CE5">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授标及签约</w:t>
      </w:r>
    </w:p>
    <w:p w14:paraId="2DDD1F77">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定标原则</w:t>
      </w:r>
    </w:p>
    <w:p w14:paraId="13DB986C">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评选小组将严格按照招标（采购）文件的要求和条件进行评标,根据评标办法推荐出三名成交候选人，并标明排列顺序。招标（采购）人将确定排名第一的成交候选人为成交人并向其授予合同。排名第一的成交候选人因不可抗力不能履行合同，或者是评选小组出现评标错误，被他人质疑后证实确有其事的，招标（采购）人将把合同授予排名第二的成交候选人。排名第二的成交候选人因前款规定的同样原因不能签订合同的，招标（采购）人将把合同授予排名第三的成交候选人。</w:t>
      </w:r>
    </w:p>
    <w:p w14:paraId="70F7025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质疑处理</w:t>
      </w:r>
    </w:p>
    <w:p w14:paraId="0DE30236">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认为招标（采购）文件和成交结果使自己的权益受到损害的，可以在知道或者应知其权益受到损害之日起七个工作日内，以书面形式向招标（采购）人提出质疑。非书面形式、七个工作日之外以及匿名的质疑将不予受理。</w:t>
      </w:r>
    </w:p>
    <w:p w14:paraId="66D6D4A1">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成交通知</w:t>
      </w:r>
    </w:p>
    <w:p w14:paraId="510EEE13">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定标后,招标（采购）人应将定标结果通知所有的供应商。</w:t>
      </w:r>
    </w:p>
    <w:p w14:paraId="77A676C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签订合同</w:t>
      </w:r>
    </w:p>
    <w:p w14:paraId="41E3151C">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成交人应在收到成交通知书 30 日内及时与招标（采购）人签订合同,如给招标（采购）人造成损失的，成交人还应承担赔偿责任。</w:t>
      </w:r>
    </w:p>
    <w:p w14:paraId="3F60331C">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签订合同后，成交人不得将相关服务进行转包。未经招标（采购）人同意，成交人不得采用分包的形式履行合同，否则招标（采购）人有权终止合同。转包或分包造成招标（采购）人损失的，成交人还应承担相应赔偿责任。</w:t>
      </w:r>
    </w:p>
    <w:p w14:paraId="4854D3EA">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违规与处罚</w:t>
      </w:r>
    </w:p>
    <w:p w14:paraId="61262A82">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处罚情形</w:t>
      </w:r>
    </w:p>
    <w:p w14:paraId="286E8774">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邀请供应商有下列情形之一的，列入不良行为信息名单，限制其自响应文件递交截止之日起六个月内不得参与市乡投集团招标（采购）活动：</w:t>
      </w:r>
    </w:p>
    <w:p w14:paraId="20BF5A3A">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邀请供应商未响应招标（采购）活动且未于文件递交截止前一天告知的；</w:t>
      </w:r>
    </w:p>
    <w:p w14:paraId="697AF99F">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邀请供应商存在未按招标（采购）文件要求编制响应文件导致评选小组否决其投标情况达三次以上（含三次）的。</w:t>
      </w:r>
    </w:p>
    <w:p w14:paraId="58F90544">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邀请供应商有下列情形之一的，列入诚信黑名单，限制其自评标结束之日起一</w:t>
      </w:r>
      <w:r>
        <w:rPr>
          <w:rFonts w:hint="eastAsia" w:ascii="仿宋" w:hAnsi="仿宋" w:eastAsia="仿宋" w:cs="仿宋"/>
          <w:sz w:val="28"/>
          <w:szCs w:val="28"/>
          <w:lang w:val="en-US" w:eastAsia="zh-CN"/>
        </w:rPr>
        <w:t>年内不得参与市乡投集团招标（采购）活动：</w:t>
      </w:r>
    </w:p>
    <w:p w14:paraId="797B4C67">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招标（采购）过程中存在围标、串标等违法违规行为的；</w:t>
      </w:r>
    </w:p>
    <w:p w14:paraId="488C8871">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提交的资格文件、业绩等相关材料弄虚作假的。</w:t>
      </w:r>
    </w:p>
    <w:p w14:paraId="18BF632F">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异议与申诉</w:t>
      </w:r>
    </w:p>
    <w:p w14:paraId="596960C8">
      <w:pPr>
        <w:keepNext w:val="0"/>
        <w:keepLines w:val="0"/>
        <w:pageBreakBefore w:val="0"/>
        <w:widowControl w:val="0"/>
        <w:numPr>
          <w:ilvl w:val="1"/>
          <w:numId w:val="7"/>
        </w:numPr>
        <w:kinsoku/>
        <w:wordWrap/>
        <w:overflowPunct/>
        <w:topLinePunct w:val="0"/>
        <w:autoSpaceDE/>
        <w:autoSpaceDN/>
        <w:bidi w:val="0"/>
        <w:adjustRightInd/>
        <w:snapToGrid/>
        <w:spacing w:line="240" w:lineRule="auto"/>
        <w:ind w:leftChars="0"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涉嫌围标、串标等违法违规行为的参选供应商如有异议，须于收到市乡投集团通知之日起2 个工作日内以正式文件回复，市乡投集团将根据供应商异议情况报公司评选小组及监督部门审议认定招标（采购）活动最终结果，评选小组认定属于围标、串标等违法违规行为的，按第22条规定对相关供应商予以处理。</w:t>
      </w:r>
    </w:p>
    <w:p w14:paraId="6043912F">
      <w:pPr>
        <w:spacing w:line="240" w:lineRule="auto"/>
        <w:ind w:leftChars="0" w:firstLine="0" w:firstLineChars="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br w:type="page"/>
      </w:r>
    </w:p>
    <w:p w14:paraId="4D9B7CE3">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 w:hAnsi="仿宋" w:eastAsia="仿宋" w:cs="仿宋"/>
          <w:b/>
          <w:color w:val="000000" w:themeColor="text1"/>
          <w:sz w:val="44"/>
          <w:szCs w:val="44"/>
          <w:highlight w:val="none"/>
          <w:lang w:val="en-US" w:eastAsia="zh-CN"/>
          <w14:textFill>
            <w14:solidFill>
              <w14:schemeClr w14:val="tx1"/>
            </w14:solidFill>
          </w14:textFill>
        </w:rPr>
      </w:pPr>
      <w:r>
        <w:rPr>
          <w:rFonts w:hint="eastAsia" w:ascii="仿宋" w:hAnsi="仿宋" w:eastAsia="仿宋" w:cs="仿宋"/>
          <w:b/>
          <w:color w:val="000000" w:themeColor="text1"/>
          <w:sz w:val="44"/>
          <w:szCs w:val="44"/>
          <w:highlight w:val="none"/>
          <w:lang w:val="en-US" w:eastAsia="zh-CN"/>
          <w14:textFill>
            <w14:solidFill>
              <w14:schemeClr w14:val="tx1"/>
            </w14:solidFill>
          </w14:textFill>
        </w:rPr>
        <w:t>合同条款</w:t>
      </w:r>
    </w:p>
    <w:p w14:paraId="7B3016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0"/>
        <w:rPr>
          <w:rFonts w:hint="default" w:ascii="仿宋" w:hAnsi="仿宋" w:eastAsia="仿宋" w:cs="仿宋"/>
          <w:b/>
          <w:color w:val="000000" w:themeColor="text1"/>
          <w:sz w:val="44"/>
          <w:szCs w:val="44"/>
          <w:highlight w:val="none"/>
          <w:lang w:val="en-US" w:eastAsia="zh-CN"/>
          <w14:textFill>
            <w14:solidFill>
              <w14:schemeClr w14:val="tx1"/>
            </w14:solidFill>
          </w14:textFill>
        </w:rPr>
      </w:pPr>
      <w:r>
        <w:rPr>
          <w:rFonts w:hint="eastAsia" w:ascii="仿宋" w:hAnsi="仿宋" w:eastAsia="仿宋" w:cs="仿宋"/>
          <w:b/>
          <w:color w:val="000000" w:themeColor="text1"/>
          <w:sz w:val="44"/>
          <w:szCs w:val="44"/>
          <w:highlight w:val="none"/>
          <w:lang w:val="en-US" w:eastAsia="zh-CN"/>
          <w14:textFill>
            <w14:solidFill>
              <w14:schemeClr w14:val="tx1"/>
            </w14:solidFill>
          </w14:textFill>
        </w:rPr>
        <w:t>（格式自拟）</w:t>
      </w:r>
    </w:p>
    <w:p w14:paraId="191A61FE">
      <w:pPr>
        <w:spacing w:line="240" w:lineRule="auto"/>
        <w:ind w:leftChars="0" w:firstLine="0" w:firstLineChars="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default" w:ascii="仿宋" w:hAnsi="仿宋" w:eastAsia="仿宋" w:cs="仿宋"/>
          <w:b/>
          <w:bCs/>
          <w:color w:val="000000" w:themeColor="text1"/>
          <w:sz w:val="28"/>
          <w:szCs w:val="28"/>
          <w:lang w:val="en-US" w:eastAsia="zh-CN"/>
          <w14:textFill>
            <w14:solidFill>
              <w14:schemeClr w14:val="tx1"/>
            </w14:solidFill>
          </w14:textFill>
        </w:rPr>
        <w:br w:type="page"/>
      </w:r>
    </w:p>
    <w:p w14:paraId="01709016">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仿宋" w:hAnsi="仿宋" w:eastAsia="仿宋" w:cs="仿宋"/>
          <w:b/>
          <w:color w:val="000000" w:themeColor="text1"/>
          <w:sz w:val="44"/>
          <w:szCs w:val="44"/>
          <w:highlight w:val="none"/>
          <w:lang w:val="en-US" w:eastAsia="zh-CN"/>
          <w14:textFill>
            <w14:solidFill>
              <w14:schemeClr w14:val="tx1"/>
            </w14:solidFill>
          </w14:textFill>
        </w:rPr>
      </w:pPr>
      <w:r>
        <w:rPr>
          <w:rFonts w:hint="eastAsia" w:ascii="仿宋" w:hAnsi="仿宋" w:eastAsia="仿宋" w:cs="仿宋"/>
          <w:b/>
          <w:color w:val="000000" w:themeColor="text1"/>
          <w:sz w:val="44"/>
          <w:szCs w:val="44"/>
          <w:highlight w:val="none"/>
          <w:lang w:val="en-US" w:eastAsia="zh-CN"/>
          <w14:textFill>
            <w14:solidFill>
              <w14:schemeClr w14:val="tx1"/>
            </w14:solidFill>
          </w14:textFill>
        </w:rPr>
        <w:t>响应文件内容和格式</w:t>
      </w:r>
    </w:p>
    <w:p w14:paraId="0D050C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p>
    <w:p w14:paraId="2F759C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p>
    <w:p w14:paraId="474A05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项目名称：市乡投集团安全生产综合应急预案编制服务</w:t>
      </w:r>
    </w:p>
    <w:p w14:paraId="6AFDE1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p>
    <w:p w14:paraId="487F92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黑体" w:hAnsi="黑体" w:eastAsia="黑体" w:cs="黑体"/>
          <w:b/>
          <w:bCs/>
          <w:color w:val="000000" w:themeColor="text1"/>
          <w:sz w:val="52"/>
          <w:szCs w:val="52"/>
          <w:lang w:val="en-US" w:eastAsia="zh-CN"/>
          <w14:textFill>
            <w14:solidFill>
              <w14:schemeClr w14:val="tx1"/>
            </w14:solidFill>
          </w14:textFill>
        </w:rPr>
      </w:pPr>
    </w:p>
    <w:p w14:paraId="1A56A9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黑体" w:hAnsi="黑体" w:eastAsia="黑体" w:cs="黑体"/>
          <w:b/>
          <w:bCs/>
          <w:color w:val="000000" w:themeColor="text1"/>
          <w:sz w:val="52"/>
          <w:szCs w:val="52"/>
          <w:lang w:val="en-US" w:eastAsia="zh-CN"/>
          <w14:textFill>
            <w14:solidFill>
              <w14:schemeClr w14:val="tx1"/>
            </w14:solidFill>
          </w14:textFill>
        </w:rPr>
      </w:pPr>
    </w:p>
    <w:p w14:paraId="6871E8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黑体" w:hAnsi="黑体" w:eastAsia="黑体" w:cs="黑体"/>
          <w:b/>
          <w:bCs/>
          <w:color w:val="000000" w:themeColor="text1"/>
          <w:sz w:val="52"/>
          <w:szCs w:val="52"/>
          <w:lang w:val="en-US" w:eastAsia="zh-CN"/>
          <w14:textFill>
            <w14:solidFill>
              <w14:schemeClr w14:val="tx1"/>
            </w14:solidFill>
          </w14:textFill>
        </w:rPr>
      </w:pPr>
    </w:p>
    <w:p w14:paraId="6D4D17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黑体" w:hAnsi="黑体" w:eastAsia="黑体" w:cs="黑体"/>
          <w:b/>
          <w:bCs/>
          <w:color w:val="000000" w:themeColor="text1"/>
          <w:sz w:val="52"/>
          <w:szCs w:val="52"/>
          <w:lang w:val="en-US" w:eastAsia="zh-CN"/>
          <w14:textFill>
            <w14:solidFill>
              <w14:schemeClr w14:val="tx1"/>
            </w14:solidFill>
          </w14:textFill>
        </w:rPr>
      </w:pPr>
      <w:r>
        <w:rPr>
          <w:rFonts w:hint="eastAsia" w:ascii="黑体" w:hAnsi="黑体" w:eastAsia="黑体" w:cs="黑体"/>
          <w:b/>
          <w:bCs/>
          <w:color w:val="000000" w:themeColor="text1"/>
          <w:sz w:val="52"/>
          <w:szCs w:val="52"/>
          <w:lang w:val="en-US" w:eastAsia="zh-CN"/>
          <w14:textFill>
            <w14:solidFill>
              <w14:schemeClr w14:val="tx1"/>
            </w14:solidFill>
          </w14:textFill>
        </w:rPr>
        <w:t>响 应 文 件</w:t>
      </w:r>
    </w:p>
    <w:p w14:paraId="070751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p>
    <w:p w14:paraId="667295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p>
    <w:p w14:paraId="473734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p>
    <w:p w14:paraId="381F17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p>
    <w:p w14:paraId="07A56A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仿宋" w:hAnsi="仿宋" w:eastAsia="仿宋" w:cs="仿宋"/>
          <w:b/>
          <w:bCs/>
          <w:color w:val="000000" w:themeColor="text1"/>
          <w:sz w:val="28"/>
          <w:szCs w:val="28"/>
          <w:u w:val="none"/>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供应商：</w:t>
      </w:r>
      <w:r>
        <w:rPr>
          <w:rFonts w:hint="eastAsia" w:ascii="仿宋" w:hAnsi="仿宋" w:eastAsia="仿宋" w:cs="仿宋"/>
          <w:b/>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u w:val="none"/>
          <w:lang w:val="en-US" w:eastAsia="zh-CN"/>
          <w14:textFill>
            <w14:solidFill>
              <w14:schemeClr w14:val="tx1"/>
            </w14:solidFill>
          </w14:textFill>
        </w:rPr>
        <w:t>（单位盖章）</w:t>
      </w:r>
    </w:p>
    <w:p w14:paraId="17F2BC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仿宋" w:hAnsi="仿宋" w:eastAsia="仿宋" w:cs="仿宋"/>
          <w:b/>
          <w:bCs/>
          <w:color w:val="000000" w:themeColor="text1"/>
          <w:sz w:val="28"/>
          <w:szCs w:val="28"/>
          <w:u w:val="none"/>
          <w:lang w:val="en-US" w:eastAsia="zh-CN"/>
          <w14:textFill>
            <w14:solidFill>
              <w14:schemeClr w14:val="tx1"/>
            </w14:solidFill>
          </w14:textFill>
        </w:rPr>
      </w:pPr>
    </w:p>
    <w:p w14:paraId="0BBA7B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bCs/>
          <w:color w:val="000000" w:themeColor="text1"/>
          <w:sz w:val="28"/>
          <w:szCs w:val="28"/>
          <w:u w:val="single"/>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法定代表人或其委托代理人（签字）：</w:t>
      </w:r>
      <w:r>
        <w:rPr>
          <w:rFonts w:hint="eastAsia" w:ascii="仿宋" w:hAnsi="仿宋" w:eastAsia="仿宋" w:cs="仿宋"/>
          <w:b/>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bCs/>
          <w:color w:val="FFFFFF" w:themeColor="background1"/>
          <w:sz w:val="28"/>
          <w:szCs w:val="28"/>
          <w:u w:val="single"/>
          <w:lang w:val="en-US" w:eastAsia="zh-CN"/>
          <w14:textFill>
            <w14:solidFill>
              <w14:schemeClr w14:val="bg1"/>
            </w14:solidFill>
          </w14:textFill>
        </w:rPr>
        <w:t>好</w:t>
      </w:r>
    </w:p>
    <w:p w14:paraId="3C7CDD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p>
    <w:p w14:paraId="1DEFAB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p>
    <w:p w14:paraId="25008D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年  月  日</w:t>
      </w:r>
    </w:p>
    <w:p w14:paraId="2CB34F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p>
    <w:p w14:paraId="51FC16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目  录</w:t>
      </w:r>
    </w:p>
    <w:p w14:paraId="62C03B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bCs/>
          <w:color w:val="000000" w:themeColor="text1"/>
          <w:sz w:val="44"/>
          <w:szCs w:val="44"/>
          <w:lang w:val="en-US" w:eastAsia="zh-CN"/>
          <w14:textFill>
            <w14:solidFill>
              <w14:schemeClr w14:val="tx1"/>
            </w14:solidFill>
          </w14:textFill>
        </w:rPr>
      </w:pPr>
    </w:p>
    <w:p w14:paraId="1FEBCFD5">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firstLine="0" w:firstLineChars="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响应函</w:t>
      </w:r>
    </w:p>
    <w:p w14:paraId="6661BA32">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法定代表人身份证明</w:t>
      </w:r>
    </w:p>
    <w:p w14:paraId="4841977C">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法人授权委托书</w:t>
      </w:r>
    </w:p>
    <w:p w14:paraId="52E15430">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响应报价表</w:t>
      </w:r>
    </w:p>
    <w:p w14:paraId="60D95E10">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资格证明文件</w:t>
      </w:r>
    </w:p>
    <w:p w14:paraId="2CBE47B4">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其他材料（业绩等）</w:t>
      </w:r>
    </w:p>
    <w:p w14:paraId="60C17B12">
      <w:pPr>
        <w:spacing w:line="240" w:lineRule="auto"/>
        <w:ind w:leftChars="0" w:firstLine="0" w:firstLineChars="0"/>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default" w:ascii="仿宋" w:hAnsi="仿宋" w:eastAsia="仿宋" w:cs="仿宋"/>
          <w:b w:val="0"/>
          <w:bCs w:val="0"/>
          <w:color w:val="000000" w:themeColor="text1"/>
          <w:sz w:val="28"/>
          <w:szCs w:val="28"/>
          <w:lang w:val="en-US" w:eastAsia="zh-CN"/>
          <w14:textFill>
            <w14:solidFill>
              <w14:schemeClr w14:val="tx1"/>
            </w14:solidFill>
          </w14:textFill>
        </w:rPr>
        <w:br w:type="page"/>
      </w:r>
    </w:p>
    <w:p w14:paraId="00AE36C7">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firstLine="0" w:firstLineChars="0"/>
        <w:jc w:val="center"/>
        <w:textAlignment w:val="auto"/>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响应函</w:t>
      </w:r>
    </w:p>
    <w:p w14:paraId="7F71BC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b/>
          <w:bCs/>
          <w:color w:val="000000" w:themeColor="text1"/>
          <w:sz w:val="44"/>
          <w:szCs w:val="44"/>
          <w:lang w:val="en-US" w:eastAsia="zh-CN"/>
          <w14:textFill>
            <w14:solidFill>
              <w14:schemeClr w14:val="tx1"/>
            </w14:solidFill>
          </w14:textFill>
        </w:rPr>
      </w:pPr>
    </w:p>
    <w:p w14:paraId="460A1A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致：海口市乡村振兴投资发展集团有限公司</w:t>
      </w:r>
    </w:p>
    <w:p w14:paraId="6C9E5D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p>
    <w:p w14:paraId="496BE9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根据贵单位</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市乡投集团安全生产综合应急预案 </w:t>
      </w:r>
      <w:r>
        <w:rPr>
          <w:rFonts w:hint="eastAsia" w:ascii="仿宋" w:hAnsi="仿宋" w:eastAsia="仿宋" w:cs="仿宋"/>
          <w:b w:val="0"/>
          <w:bCs w:val="0"/>
          <w:color w:val="000000" w:themeColor="text1"/>
          <w:sz w:val="28"/>
          <w:szCs w:val="28"/>
          <w:lang w:val="en-US" w:eastAsia="zh-CN"/>
          <w14:textFill>
            <w14:solidFill>
              <w14:schemeClr w14:val="tx1"/>
            </w14:solidFill>
          </w14:textFill>
        </w:rPr>
        <w:t>招标（采购）文件要求，正式授权下述签字</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人</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（姓名和职务）代表供应商</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（响应单位名称），提交响应文件。</w:t>
      </w:r>
    </w:p>
    <w:p w14:paraId="07A370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根据此函，我们宣布同意如下：</w:t>
      </w:r>
    </w:p>
    <w:p w14:paraId="70A615AF">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我方接受招标（采购）文件的所有的条款和规定。</w:t>
      </w:r>
    </w:p>
    <w:p w14:paraId="12826AB4">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我方同意按照招标（采购）文件第二部分“供应商须知”的规定，本响应文件的有效期为从响应截止日期起计算的</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60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天，在此期间，本响应文件将始终对我方具有约束力，并可随时被接受。</w:t>
      </w:r>
    </w:p>
    <w:p w14:paraId="633FD637">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我们同意提供贵单位要求的有关本次响应的所有资料或证据，并保证资料、证据的真实有效性。</w:t>
      </w:r>
    </w:p>
    <w:p w14:paraId="4FD3992F">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如果我方成交，我们将根据</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招标（采购）</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文件的规定严格履行自己的责任和义务。</w:t>
      </w:r>
    </w:p>
    <w:p w14:paraId="500680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供应商名称：</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（公章）</w:t>
      </w:r>
    </w:p>
    <w:p w14:paraId="3024CC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eastAsia" w:ascii="仿宋" w:hAnsi="仿宋" w:eastAsia="仿宋" w:cs="仿宋"/>
          <w:b w:val="0"/>
          <w:bCs w:val="0"/>
          <w:color w:val="FFFFFF" w:themeColor="background1"/>
          <w:sz w:val="28"/>
          <w:szCs w:val="28"/>
          <w:u w:val="single"/>
          <w:lang w:val="en-US" w:eastAsia="zh-CN"/>
          <w14:textFill>
            <w14:solidFill>
              <w14:schemeClr w14:val="bg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地址：</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邮编：</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FFFFFF" w:themeColor="background1"/>
          <w:sz w:val="28"/>
          <w:szCs w:val="28"/>
          <w:u w:val="single"/>
          <w:lang w:val="en-US" w:eastAsia="zh-CN"/>
          <w14:textFill>
            <w14:solidFill>
              <w14:schemeClr w14:val="bg1"/>
            </w14:solidFill>
          </w14:textFill>
        </w:rPr>
        <w:t>话</w:t>
      </w:r>
    </w:p>
    <w:p w14:paraId="794E75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电话：</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传真：</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FFFFFF" w:themeColor="background1"/>
          <w:sz w:val="28"/>
          <w:szCs w:val="28"/>
          <w:u w:val="single"/>
          <w:lang w:val="en-US" w:eastAsia="zh-CN"/>
          <w14:textFill>
            <w14:solidFill>
              <w14:schemeClr w14:val="bg1"/>
            </w14:solidFill>
          </w14:textFill>
        </w:rPr>
        <w:t>话</w:t>
      </w:r>
    </w:p>
    <w:p w14:paraId="74D91F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法定代表人或授权代表（签字或盖章）：</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FFFFFF" w:themeColor="background1"/>
          <w:sz w:val="28"/>
          <w:szCs w:val="28"/>
          <w:u w:val="single"/>
          <w:lang w:val="en-US" w:eastAsia="zh-CN"/>
          <w14:textFill>
            <w14:solidFill>
              <w14:schemeClr w14:val="bg1"/>
            </w14:solidFill>
          </w14:textFill>
        </w:rPr>
        <w:t>话</w:t>
      </w:r>
    </w:p>
    <w:p w14:paraId="3C8E0E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职务：</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FFFFFF" w:themeColor="background1"/>
          <w:sz w:val="28"/>
          <w:szCs w:val="28"/>
          <w:u w:val="single"/>
          <w:lang w:val="en-US" w:eastAsia="zh-CN"/>
          <w14:textFill>
            <w14:solidFill>
              <w14:schemeClr w14:val="bg1"/>
            </w14:solidFill>
          </w14:textFill>
        </w:rPr>
        <w:t xml:space="preserve">     </w:t>
      </w:r>
      <w:r>
        <w:rPr>
          <w:rFonts w:hint="eastAsia" w:ascii="仿宋" w:hAnsi="仿宋" w:eastAsia="仿宋" w:cs="仿宋"/>
          <w:b w:val="0"/>
          <w:bCs w:val="0"/>
          <w:color w:val="FFFFFF" w:themeColor="background1"/>
          <w:sz w:val="28"/>
          <w:szCs w:val="28"/>
          <w:u w:val="none"/>
          <w:lang w:val="en-US" w:eastAsia="zh-CN"/>
          <w14:textFill>
            <w14:solidFill>
              <w14:schemeClr w14:val="bg1"/>
            </w14:solidFill>
          </w14:textFill>
        </w:rPr>
        <w:t>传</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p>
    <w:p w14:paraId="6417F0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日期：</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FFFFFF" w:themeColor="background1"/>
          <w:sz w:val="28"/>
          <w:szCs w:val="28"/>
          <w:u w:val="single"/>
          <w:lang w:val="en-US" w:eastAsia="zh-CN"/>
          <w14:textFill>
            <w14:solidFill>
              <w14:schemeClr w14:val="bg1"/>
            </w14:solidFill>
          </w14:textFill>
        </w:rPr>
        <w:t xml:space="preserve">     </w:t>
      </w:r>
      <w:r>
        <w:rPr>
          <w:rFonts w:hint="eastAsia" w:ascii="仿宋" w:hAnsi="仿宋" w:eastAsia="仿宋" w:cs="仿宋"/>
          <w:b w:val="0"/>
          <w:bCs w:val="0"/>
          <w:color w:val="FFFFFF" w:themeColor="background1"/>
          <w:sz w:val="28"/>
          <w:szCs w:val="28"/>
          <w:u w:val="none"/>
          <w:lang w:val="en-US" w:eastAsia="zh-CN"/>
          <w14:textFill>
            <w14:solidFill>
              <w14:schemeClr w14:val="bg1"/>
            </w14:solidFill>
          </w14:textFill>
        </w:rPr>
        <w:t>传</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p>
    <w:p w14:paraId="62AAE505">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法定代表人身份证明</w:t>
      </w:r>
    </w:p>
    <w:p w14:paraId="334441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p>
    <w:p w14:paraId="56C5F2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3A3E9B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2D24B3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0B7F34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姓名：</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性别：</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FFFFFF" w:themeColor="background1"/>
          <w:sz w:val="28"/>
          <w:szCs w:val="28"/>
          <w:u w:val="single"/>
          <w:lang w:val="en-US" w:eastAsia="zh-CN"/>
          <w14:textFill>
            <w14:solidFill>
              <w14:schemeClr w14:val="bg1"/>
            </w14:solidFill>
          </w14:textFill>
        </w:rPr>
        <w:t>你</w:t>
      </w:r>
    </w:p>
    <w:p w14:paraId="7C5B9E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年龄：</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职务：</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FFFFFF" w:themeColor="background1"/>
          <w:sz w:val="28"/>
          <w:szCs w:val="28"/>
          <w:u w:val="single"/>
          <w:lang w:val="en-US" w:eastAsia="zh-CN"/>
          <w14:textFill>
            <w14:solidFill>
              <w14:schemeClr w14:val="bg1"/>
            </w14:solidFill>
          </w14:textFill>
        </w:rPr>
        <w:t>你</w:t>
      </w:r>
    </w:p>
    <w:p w14:paraId="5613FA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身份证号：</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系</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（供应商名称）的法定代表人。</w:t>
      </w:r>
    </w:p>
    <w:p w14:paraId="5064F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特此证明。</w:t>
      </w:r>
    </w:p>
    <w:p w14:paraId="2306C7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p>
    <w:p w14:paraId="162229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p>
    <w:p w14:paraId="195AA6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p>
    <w:p w14:paraId="62323F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p>
    <w:p w14:paraId="493C83FA">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firstLine="0" w:firstLineChars="0"/>
        <w:jc w:val="right"/>
        <w:textAlignment w:val="auto"/>
        <w:rPr>
          <w:rFonts w:hint="default" w:ascii="仿宋" w:hAnsi="仿宋" w:eastAsia="仿宋" w:cs="仿宋"/>
          <w:b w:val="0"/>
          <w:bCs w:val="0"/>
          <w:color w:val="000000" w:themeColor="text1"/>
          <w:sz w:val="28"/>
          <w:szCs w:val="28"/>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供应商：</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p>
    <w:p w14:paraId="6946256C">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firstLine="0" w:firstLineChars="0"/>
        <w:jc w:val="right"/>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 xml:space="preserve">日 期：   年   月   日    </w:t>
      </w:r>
    </w:p>
    <w:p w14:paraId="0AB9102D">
      <w:pPr>
        <w:spacing w:line="240" w:lineRule="auto"/>
        <w:ind w:leftChars="0" w:firstLine="0" w:firstLineChars="0"/>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br w:type="page"/>
      </w:r>
    </w:p>
    <w:p w14:paraId="59FDEFB5">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法定代表人授权书</w:t>
      </w:r>
    </w:p>
    <w:p w14:paraId="38DCFB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27E18B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1615F2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致：海口市乡村振兴投资发展集团有限公司</w:t>
      </w:r>
    </w:p>
    <w:p w14:paraId="661BE7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 xml:space="preserve">兹授权： </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先生/女士作为我公司的合法授权代理人，参加海口市乡村振兴投资发展集团有限公司组织的</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市乡投集团安全生产综合应急预案编制服务 </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招标（采购）</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活动。</w:t>
      </w:r>
    </w:p>
    <w:p w14:paraId="04C162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并授权其全权办理以下事宜：</w:t>
      </w:r>
    </w:p>
    <w:p w14:paraId="405D4613">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Chars="0"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以我单位的名义签署响应书和响应文件；</w:t>
      </w:r>
    </w:p>
    <w:p w14:paraId="52462C02">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参加开标评标会议；</w:t>
      </w:r>
    </w:p>
    <w:p w14:paraId="14BB3B59">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向评选小组及</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招标（采购）</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人澄清、解释响应文件中的疑问；</w:t>
      </w:r>
    </w:p>
    <w:p w14:paraId="096A85DD">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签订合同书并执行一切与本项目有关的事项。</w:t>
      </w:r>
    </w:p>
    <w:p w14:paraId="341A57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受托人在办理上述事宜过程中以其自己的名义所签署的所有文件我均予以承认。受托人无转委托权。</w:t>
      </w:r>
    </w:p>
    <w:p w14:paraId="520745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委托期限：至上述事宜处理完毕止。</w:t>
      </w:r>
    </w:p>
    <w:p w14:paraId="2B6EAC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被授权人：</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（亲笔签名）联系电话：</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FFFFFF" w:themeColor="background1"/>
          <w:sz w:val="28"/>
          <w:szCs w:val="28"/>
          <w:u w:val="none"/>
          <w:lang w:val="en-US" w:eastAsia="zh-CN"/>
          <w14:textFill>
            <w14:solidFill>
              <w14:schemeClr w14:val="bg1"/>
            </w14:solidFill>
          </w14:textFill>
        </w:rPr>
        <w:t>（</w:t>
      </w:r>
    </w:p>
    <w:p w14:paraId="326D05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职务：</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 xml:space="preserve"> 身份证号码：</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FFFFFF" w:themeColor="background1"/>
          <w:sz w:val="28"/>
          <w:szCs w:val="28"/>
          <w:u w:val="single"/>
          <w:lang w:val="en-US" w:eastAsia="zh-CN"/>
          <w14:textFill>
            <w14:solidFill>
              <w14:schemeClr w14:val="bg1"/>
            </w14:solidFill>
          </w14:textFill>
        </w:rPr>
        <w:t>啊</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 xml:space="preserve"> </w:t>
      </w:r>
    </w:p>
    <w:p w14:paraId="4F9A3F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公司名称：</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 xml:space="preserve"> （盖公章）</w:t>
      </w:r>
    </w:p>
    <w:p w14:paraId="693E74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FFFFFF" w:themeColor="background1"/>
          <w:sz w:val="28"/>
          <w:szCs w:val="28"/>
          <w:u w:val="none"/>
          <w:lang w:val="en-US" w:eastAsia="zh-CN"/>
          <w14:textFill>
            <w14:solidFill>
              <w14:schemeClr w14:val="bg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营业执照号码：</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FFFFFF" w:themeColor="background1"/>
          <w:sz w:val="28"/>
          <w:szCs w:val="28"/>
          <w:u w:val="none"/>
          <w:lang w:val="en-US" w:eastAsia="zh-CN"/>
          <w14:textFill>
            <w14:solidFill>
              <w14:schemeClr w14:val="bg1"/>
            </w14:solidFill>
          </w14:textFill>
        </w:rPr>
        <w:t>法</w:t>
      </w:r>
    </w:p>
    <w:p w14:paraId="647FC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FFFFFF" w:themeColor="background1"/>
          <w:sz w:val="28"/>
          <w:szCs w:val="28"/>
          <w:u w:val="none"/>
          <w:lang w:val="en-US" w:eastAsia="zh-CN"/>
          <w14:textFill>
            <w14:solidFill>
              <w14:schemeClr w14:val="bg1"/>
            </w14:solidFill>
          </w14:textFill>
        </w:rPr>
      </w:pPr>
      <w:r>
        <w:rPr>
          <w:rFonts w:hint="eastAsia" w:ascii="仿宋" w:hAnsi="仿宋" w:eastAsia="仿宋" w:cs="仿宋"/>
          <w:b w:val="0"/>
          <w:bCs w:val="0"/>
          <w:color w:val="auto"/>
          <w:sz w:val="28"/>
          <w:szCs w:val="28"/>
          <w:u w:val="none"/>
          <w:lang w:val="en-US" w:eastAsia="zh-CN"/>
        </w:rPr>
        <w:t>法</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定代表人：</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（签字或盖章）联系电话：</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职务：</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 w:val="0"/>
          <w:bCs w:val="0"/>
          <w:color w:val="FFFFFF" w:themeColor="background1"/>
          <w:sz w:val="28"/>
          <w:szCs w:val="28"/>
          <w:u w:val="single"/>
          <w:lang w:val="en-US" w:eastAsia="zh-CN"/>
          <w14:textFill>
            <w14:solidFill>
              <w14:schemeClr w14:val="bg1"/>
            </w14:solidFill>
          </w14:textFill>
        </w:rPr>
        <w:t>好</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身份证号码：</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FFFFFF" w:themeColor="background1"/>
          <w:sz w:val="28"/>
          <w:szCs w:val="28"/>
          <w:u w:val="none"/>
          <w:lang w:val="en-US" w:eastAsia="zh-CN"/>
          <w14:textFill>
            <w14:solidFill>
              <w14:schemeClr w14:val="bg1"/>
            </w14:solidFill>
          </w14:textFill>
        </w:rPr>
        <w:t>生</w:t>
      </w:r>
    </w:p>
    <w:p w14:paraId="023BFD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auto"/>
          <w:sz w:val="28"/>
          <w:szCs w:val="28"/>
          <w:u w:val="none"/>
          <w:lang w:val="en-US" w:eastAsia="zh-CN"/>
        </w:rPr>
        <w:t>生</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效日期：</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年</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月</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日</w:t>
      </w:r>
    </w:p>
    <w:p w14:paraId="24A095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621ACB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sz w:val="21"/>
        </w:rPr>
        <mc:AlternateContent>
          <mc:Choice Requires="wpg">
            <w:drawing>
              <wp:inline distT="0" distB="0" distL="114300" distR="114300">
                <wp:extent cx="5267325" cy="3187700"/>
                <wp:effectExtent l="4445" t="4445" r="5080" b="8255"/>
                <wp:docPr id="38" name="组合 38"/>
                <wp:cNvGraphicFramePr/>
                <a:graphic xmlns:a="http://schemas.openxmlformats.org/drawingml/2006/main">
                  <a:graphicData uri="http://schemas.microsoft.com/office/word/2010/wordprocessingGroup">
                    <wpg:wgp>
                      <wpg:cNvGrpSpPr/>
                      <wpg:grpSpPr>
                        <a:xfrm>
                          <a:off x="1090295" y="6302375"/>
                          <a:ext cx="5267325" cy="3187700"/>
                          <a:chOff x="2368" y="138819"/>
                          <a:chExt cx="8472" cy="5127"/>
                        </a:xfrm>
                      </wpg:grpSpPr>
                      <wpg:grpSp>
                        <wpg:cNvPr id="39" name="组合 4"/>
                        <wpg:cNvGrpSpPr/>
                        <wpg:grpSpPr>
                          <a:xfrm rot="0">
                            <a:off x="2375" y="138819"/>
                            <a:ext cx="8457" cy="2279"/>
                            <a:chOff x="9249" y="115238"/>
                            <a:chExt cx="9405" cy="2738"/>
                          </a:xfrm>
                        </wpg:grpSpPr>
                        <wps:wsp>
                          <wps:cNvPr id="40" name="矩形 2"/>
                          <wps:cNvSpPr/>
                          <wps:spPr>
                            <a:xfrm>
                              <a:off x="9249" y="115238"/>
                              <a:ext cx="4680" cy="27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C343F1">
                                <w:pPr>
                                  <w:ind w:left="-1079" w:leftChars="-514"/>
                                  <w:jc w:val="center"/>
                                  <w:rPr>
                                    <w:rFonts w:eastAsia="黑体"/>
                                    <w:b/>
                                    <w:sz w:val="30"/>
                                  </w:rPr>
                                </w:pPr>
                              </w:p>
                              <w:p w14:paraId="4E68E592">
                                <w:pPr>
                                  <w:ind w:left="-1079" w:leftChars="-514"/>
                                  <w:jc w:val="center"/>
                                  <w:rPr>
                                    <w:rFonts w:hint="eastAsia" w:eastAsia="华文中宋"/>
                                    <w:b/>
                                    <w:sz w:val="28"/>
                                  </w:rPr>
                                </w:pPr>
                                <w:r>
                                  <w:rPr>
                                    <w:rFonts w:hint="eastAsia" w:eastAsia="华文中宋"/>
                                    <w:b/>
                                    <w:sz w:val="28"/>
                                    <w:lang w:val="en-US" w:eastAsia="zh-CN"/>
                                  </w:rPr>
                                  <w:t xml:space="preserve">      </w:t>
                                </w:r>
                                <w:r>
                                  <w:rPr>
                                    <w:rFonts w:hint="eastAsia" w:eastAsia="华文中宋"/>
                                    <w:b/>
                                    <w:sz w:val="28"/>
                                  </w:rPr>
                                  <w:t>法定代表人</w:t>
                                </w:r>
                              </w:p>
                              <w:p w14:paraId="4AD408A9">
                                <w:pPr>
                                  <w:ind w:left="-1079" w:leftChars="-514"/>
                                  <w:jc w:val="center"/>
                                  <w:rPr>
                                    <w:rFonts w:eastAsia="华文中宋"/>
                                    <w:sz w:val="28"/>
                                  </w:rPr>
                                </w:pPr>
                                <w:r>
                                  <w:rPr>
                                    <w:rFonts w:hint="eastAsia" w:eastAsia="华文中宋"/>
                                    <w:b/>
                                    <w:sz w:val="28"/>
                                    <w:lang w:val="en-US" w:eastAsia="zh-CN"/>
                                  </w:rPr>
                                  <w:t xml:space="preserve">     </w:t>
                                </w:r>
                                <w:r>
                                  <w:rPr>
                                    <w:rFonts w:hint="eastAsia" w:eastAsia="华文中宋"/>
                                    <w:b/>
                                    <w:sz w:val="28"/>
                                  </w:rPr>
                                  <w:t>居民身份证</w:t>
                                </w:r>
                                <w:r>
                                  <w:rPr>
                                    <w:rFonts w:hint="eastAsia" w:eastAsia="华文中宋"/>
                                    <w:b/>
                                    <w:sz w:val="28"/>
                                    <w:lang w:val="en-US" w:eastAsia="zh-CN"/>
                                  </w:rPr>
                                  <w:t>正反面</w:t>
                                </w:r>
                              </w:p>
                            </w:txbxContent>
                          </wps:txbx>
                          <wps:bodyPr upright="1"/>
                        </wps:wsp>
                        <wps:wsp>
                          <wps:cNvPr id="41" name="矩形 3"/>
                          <wps:cNvSpPr/>
                          <wps:spPr>
                            <a:xfrm>
                              <a:off x="14154" y="115238"/>
                              <a:ext cx="4500" cy="27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23A0E0">
                                <w:pPr>
                                  <w:jc w:val="both"/>
                                  <w:rPr>
                                    <w:rFonts w:hint="eastAsia" w:eastAsia="华文中宋"/>
                                    <w:b/>
                                    <w:sz w:val="28"/>
                                  </w:rPr>
                                </w:pPr>
                              </w:p>
                              <w:p w14:paraId="136816A6">
                                <w:pPr>
                                  <w:jc w:val="center"/>
                                  <w:rPr>
                                    <w:rFonts w:hint="default" w:eastAsia="华文中宋"/>
                                    <w:b/>
                                    <w:sz w:val="28"/>
                                    <w:lang w:val="en-US" w:eastAsia="zh-CN"/>
                                  </w:rPr>
                                </w:pPr>
                                <w:r>
                                  <w:rPr>
                                    <w:rFonts w:hint="eastAsia" w:eastAsia="华文中宋"/>
                                    <w:b/>
                                    <w:sz w:val="28"/>
                                  </w:rPr>
                                  <w:t>法定代表人</w:t>
                                </w:r>
                              </w:p>
                              <w:p w14:paraId="598431C9">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p w14:paraId="0CC246CE">
                                <w:pPr>
                                  <w:jc w:val="center"/>
                                  <w:rPr>
                                    <w:rFonts w:eastAsia="华文中宋"/>
                                    <w:sz w:val="28"/>
                                  </w:rPr>
                                </w:pPr>
                              </w:p>
                            </w:txbxContent>
                          </wps:txbx>
                          <wps:bodyPr upright="1"/>
                        </wps:wsp>
                      </wpg:grpSp>
                      <wpg:grpSp>
                        <wpg:cNvPr id="42" name="组合 5"/>
                        <wpg:cNvGrpSpPr/>
                        <wpg:grpSpPr>
                          <a:xfrm rot="0">
                            <a:off x="2368" y="141438"/>
                            <a:ext cx="8472" cy="2509"/>
                            <a:chOff x="9249" y="115238"/>
                            <a:chExt cx="9405" cy="2738"/>
                          </a:xfrm>
                        </wpg:grpSpPr>
                        <wps:wsp>
                          <wps:cNvPr id="43" name="矩形 2"/>
                          <wps:cNvSpPr/>
                          <wps:spPr>
                            <a:xfrm>
                              <a:off x="9249" y="115238"/>
                              <a:ext cx="4680" cy="273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C820DF">
                                <w:pPr>
                                  <w:ind w:left="-1079" w:leftChars="-514"/>
                                  <w:jc w:val="center"/>
                                  <w:rPr>
                                    <w:rFonts w:eastAsia="黑体"/>
                                    <w:b/>
                                    <w:sz w:val="30"/>
                                  </w:rPr>
                                </w:pPr>
                              </w:p>
                              <w:p w14:paraId="13CF5D37">
                                <w:pPr>
                                  <w:jc w:val="center"/>
                                  <w:rPr>
                                    <w:rFonts w:eastAsia="华文中宋"/>
                                    <w:b/>
                                    <w:sz w:val="28"/>
                                  </w:rPr>
                                </w:pPr>
                                <w:r>
                                  <w:rPr>
                                    <w:rFonts w:hint="eastAsia" w:eastAsia="华文中宋"/>
                                    <w:b/>
                                    <w:sz w:val="28"/>
                                  </w:rPr>
                                  <w:t>被授权人</w:t>
                                </w:r>
                              </w:p>
                              <w:p w14:paraId="114D23E0">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wps:txbx>
                          <wps:bodyPr upright="1"/>
                        </wps:wsp>
                        <wps:wsp>
                          <wps:cNvPr id="44" name="矩形 3"/>
                          <wps:cNvSpPr/>
                          <wps:spPr>
                            <a:xfrm>
                              <a:off x="14154" y="115238"/>
                              <a:ext cx="4500" cy="27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11C661">
                                <w:pPr>
                                  <w:rPr>
                                    <w:rFonts w:eastAsia="黑体"/>
                                    <w:b/>
                                    <w:sz w:val="30"/>
                                  </w:rPr>
                                </w:pPr>
                              </w:p>
                              <w:p w14:paraId="31C9BD84">
                                <w:pPr>
                                  <w:jc w:val="center"/>
                                  <w:rPr>
                                    <w:rFonts w:eastAsia="华文中宋"/>
                                    <w:b/>
                                    <w:sz w:val="28"/>
                                  </w:rPr>
                                </w:pPr>
                                <w:r>
                                  <w:rPr>
                                    <w:rFonts w:hint="eastAsia" w:eastAsia="华文中宋"/>
                                    <w:b/>
                                    <w:sz w:val="28"/>
                                  </w:rPr>
                                  <w:t>被授权人</w:t>
                                </w:r>
                              </w:p>
                              <w:p w14:paraId="4C3BE46C">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wps:txbx>
                          <wps:bodyPr upright="1"/>
                        </wps:wsp>
                      </wpg:grpSp>
                    </wpg:wgp>
                  </a:graphicData>
                </a:graphic>
              </wp:inline>
            </w:drawing>
          </mc:Choice>
          <mc:Fallback>
            <w:pict>
              <v:group id="_x0000_s1026" o:spid="_x0000_s1026" o:spt="203" style="height:251pt;width:414.75pt;" coordorigin="2368,138819" coordsize="8472,5127" o:gfxdata="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Ax1ZIm1gAA&#10;AAUBAAAPAAAAAAAAAAEAIAAAACIAAABkcnMvZG93bnJldi54bWxQSwECFAAUAAAACACHTuJAPrje&#10;MD0DAADhDgAADgAAAAAAAAABACAAAAAlAQAAZHJzL2Uyb0RvYy54bWxQSwUGAAAAAAYABgBZAQAA&#10;1AYAAAAA&#10;">
                <o:lock v:ext="edit" aspectratio="f"/>
                <v:group id="组合 4" o:spid="_x0000_s1026" o:spt="203" style="position:absolute;left:2375;top:138819;height:2279;width:8457;" coordorigin="9249,115238" coordsize="9405,2738"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rect id="矩形 2" o:spid="_x0000_s1026" o:spt="1" style="position:absolute;left:9249;top:115238;height:2738;width:4680;" fillcolor="#FFFFFF" filled="t" stroked="t" coordsize="21600,21600" o:gfxdata="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LzG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4C343F1">
                          <w:pPr>
                            <w:ind w:left="-1079" w:leftChars="-514"/>
                            <w:jc w:val="center"/>
                            <w:rPr>
                              <w:rFonts w:eastAsia="黑体"/>
                              <w:b/>
                              <w:sz w:val="30"/>
                            </w:rPr>
                          </w:pPr>
                        </w:p>
                        <w:p w14:paraId="4E68E592">
                          <w:pPr>
                            <w:ind w:left="-1079" w:leftChars="-514"/>
                            <w:jc w:val="center"/>
                            <w:rPr>
                              <w:rFonts w:hint="eastAsia" w:eastAsia="华文中宋"/>
                              <w:b/>
                              <w:sz w:val="28"/>
                            </w:rPr>
                          </w:pPr>
                          <w:r>
                            <w:rPr>
                              <w:rFonts w:hint="eastAsia" w:eastAsia="华文中宋"/>
                              <w:b/>
                              <w:sz w:val="28"/>
                              <w:lang w:val="en-US" w:eastAsia="zh-CN"/>
                            </w:rPr>
                            <w:t xml:space="preserve">      </w:t>
                          </w:r>
                          <w:r>
                            <w:rPr>
                              <w:rFonts w:hint="eastAsia" w:eastAsia="华文中宋"/>
                              <w:b/>
                              <w:sz w:val="28"/>
                            </w:rPr>
                            <w:t>法定代表人</w:t>
                          </w:r>
                        </w:p>
                        <w:p w14:paraId="4AD408A9">
                          <w:pPr>
                            <w:ind w:left="-1079" w:leftChars="-514"/>
                            <w:jc w:val="center"/>
                            <w:rPr>
                              <w:rFonts w:eastAsia="华文中宋"/>
                              <w:sz w:val="28"/>
                            </w:rPr>
                          </w:pPr>
                          <w:r>
                            <w:rPr>
                              <w:rFonts w:hint="eastAsia" w:eastAsia="华文中宋"/>
                              <w:b/>
                              <w:sz w:val="28"/>
                              <w:lang w:val="en-US" w:eastAsia="zh-CN"/>
                            </w:rPr>
                            <w:t xml:space="preserve">     </w:t>
                          </w:r>
                          <w:r>
                            <w:rPr>
                              <w:rFonts w:hint="eastAsia" w:eastAsia="华文中宋"/>
                              <w:b/>
                              <w:sz w:val="28"/>
                            </w:rPr>
                            <w:t>居民身份证</w:t>
                          </w:r>
                          <w:r>
                            <w:rPr>
                              <w:rFonts w:hint="eastAsia" w:eastAsia="华文中宋"/>
                              <w:b/>
                              <w:sz w:val="28"/>
                              <w:lang w:val="en-US" w:eastAsia="zh-CN"/>
                            </w:rPr>
                            <w:t>正反面</w:t>
                          </w:r>
                        </w:p>
                      </w:txbxContent>
                    </v:textbox>
                  </v:rect>
                  <v:rect id="矩形 3" o:spid="_x0000_s1026" o:spt="1" style="position:absolute;left:14154;top:115238;height:2721;width:4500;"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F23A0E0">
                          <w:pPr>
                            <w:jc w:val="both"/>
                            <w:rPr>
                              <w:rFonts w:hint="eastAsia" w:eastAsia="华文中宋"/>
                              <w:b/>
                              <w:sz w:val="28"/>
                            </w:rPr>
                          </w:pPr>
                        </w:p>
                        <w:p w14:paraId="136816A6">
                          <w:pPr>
                            <w:jc w:val="center"/>
                            <w:rPr>
                              <w:rFonts w:hint="default" w:eastAsia="华文中宋"/>
                              <w:b/>
                              <w:sz w:val="28"/>
                              <w:lang w:val="en-US" w:eastAsia="zh-CN"/>
                            </w:rPr>
                          </w:pPr>
                          <w:r>
                            <w:rPr>
                              <w:rFonts w:hint="eastAsia" w:eastAsia="华文中宋"/>
                              <w:b/>
                              <w:sz w:val="28"/>
                            </w:rPr>
                            <w:t>法定代表人</w:t>
                          </w:r>
                        </w:p>
                        <w:p w14:paraId="598431C9">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p w14:paraId="0CC246CE">
                          <w:pPr>
                            <w:jc w:val="center"/>
                            <w:rPr>
                              <w:rFonts w:eastAsia="华文中宋"/>
                              <w:sz w:val="28"/>
                            </w:rPr>
                          </w:pPr>
                        </w:p>
                      </w:txbxContent>
                    </v:textbox>
                  </v:rect>
                </v:group>
                <v:group id="组合 5" o:spid="_x0000_s1026" o:spt="203" style="position:absolute;left:2368;top:141438;height:2509;width:8472;" coordorigin="9249,115238" coordsize="9405,2738"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rect id="矩形 2" o:spid="_x0000_s1026" o:spt="1" style="position:absolute;left:9249;top:115238;height:2738;width:4680;" fillcolor="#FFFFFF" filled="t" stroked="t" coordsize="21600,21600" o:gfxdata="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7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DC820DF">
                          <w:pPr>
                            <w:ind w:left="-1079" w:leftChars="-514"/>
                            <w:jc w:val="center"/>
                            <w:rPr>
                              <w:rFonts w:eastAsia="黑体"/>
                              <w:b/>
                              <w:sz w:val="30"/>
                            </w:rPr>
                          </w:pPr>
                        </w:p>
                        <w:p w14:paraId="13CF5D37">
                          <w:pPr>
                            <w:jc w:val="center"/>
                            <w:rPr>
                              <w:rFonts w:eastAsia="华文中宋"/>
                              <w:b/>
                              <w:sz w:val="28"/>
                            </w:rPr>
                          </w:pPr>
                          <w:r>
                            <w:rPr>
                              <w:rFonts w:hint="eastAsia" w:eastAsia="华文中宋"/>
                              <w:b/>
                              <w:sz w:val="28"/>
                            </w:rPr>
                            <w:t>被授权人</w:t>
                          </w:r>
                        </w:p>
                        <w:p w14:paraId="114D23E0">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v:textbox>
                  </v:rect>
                  <v:rect id="矩形 3" o:spid="_x0000_s1026" o:spt="1" style="position:absolute;left:14154;top:115238;height:2721;width:4500;"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E11C661">
                          <w:pPr>
                            <w:rPr>
                              <w:rFonts w:eastAsia="黑体"/>
                              <w:b/>
                              <w:sz w:val="30"/>
                            </w:rPr>
                          </w:pPr>
                        </w:p>
                        <w:p w14:paraId="31C9BD84">
                          <w:pPr>
                            <w:jc w:val="center"/>
                            <w:rPr>
                              <w:rFonts w:eastAsia="华文中宋"/>
                              <w:b/>
                              <w:sz w:val="28"/>
                            </w:rPr>
                          </w:pPr>
                          <w:r>
                            <w:rPr>
                              <w:rFonts w:hint="eastAsia" w:eastAsia="华文中宋"/>
                              <w:b/>
                              <w:sz w:val="28"/>
                            </w:rPr>
                            <w:t>被授权人</w:t>
                          </w:r>
                        </w:p>
                        <w:p w14:paraId="4C3BE46C">
                          <w:pPr>
                            <w:jc w:val="center"/>
                            <w:rPr>
                              <w:rFonts w:eastAsia="华文中宋"/>
                              <w:sz w:val="28"/>
                            </w:rPr>
                          </w:pPr>
                          <w:r>
                            <w:rPr>
                              <w:rFonts w:hint="eastAsia" w:eastAsia="华文中宋"/>
                              <w:b/>
                              <w:sz w:val="28"/>
                            </w:rPr>
                            <w:t>居民身份证</w:t>
                          </w:r>
                          <w:r>
                            <w:rPr>
                              <w:rFonts w:hint="eastAsia" w:eastAsia="华文中宋"/>
                              <w:b/>
                              <w:sz w:val="28"/>
                              <w:lang w:val="en-US" w:eastAsia="zh-CN"/>
                            </w:rPr>
                            <w:t>正反面</w:t>
                          </w:r>
                        </w:p>
                      </w:txbxContent>
                    </v:textbox>
                  </v:rect>
                </v:group>
                <w10:wrap type="none"/>
                <w10:anchorlock/>
              </v:group>
            </w:pict>
          </mc:Fallback>
        </mc:AlternateContent>
      </w:r>
    </w:p>
    <w:p w14:paraId="463F64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5DB500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5B29CA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281E20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640D7A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bCs/>
          <w:color w:val="000000" w:themeColor="text1"/>
          <w:sz w:val="28"/>
          <w:szCs w:val="28"/>
          <w:u w:val="none"/>
          <w:lang w:val="en-US" w:eastAsia="zh-CN"/>
          <w14:textFill>
            <w14:solidFill>
              <w14:schemeClr w14:val="tx1"/>
            </w14:solidFill>
          </w14:textFill>
        </w:rPr>
      </w:pPr>
      <w:r>
        <w:rPr>
          <w:rFonts w:hint="default" w:ascii="仿宋" w:hAnsi="仿宋" w:eastAsia="仿宋" w:cs="仿宋"/>
          <w:b/>
          <w:bCs/>
          <w:color w:val="000000" w:themeColor="text1"/>
          <w:sz w:val="28"/>
          <w:szCs w:val="28"/>
          <w:u w:val="none"/>
          <w:lang w:val="en-US" w:eastAsia="zh-CN"/>
          <w14:textFill>
            <w14:solidFill>
              <w14:schemeClr w14:val="tx1"/>
            </w14:solidFill>
          </w14:textFill>
        </w:rPr>
        <w:t>注：本授权书内容不得擅自修改</w:t>
      </w:r>
    </w:p>
    <w:p w14:paraId="5CED22EF">
      <w:pPr>
        <w:spacing w:line="240" w:lineRule="auto"/>
        <w:ind w:leftChars="0" w:firstLine="0" w:firstLineChars="0"/>
        <w:rPr>
          <w:rFonts w:hint="default" w:ascii="仿宋" w:hAnsi="仿宋" w:eastAsia="仿宋" w:cs="仿宋"/>
          <w:b/>
          <w:bCs/>
          <w:color w:val="000000" w:themeColor="text1"/>
          <w:sz w:val="28"/>
          <w:szCs w:val="28"/>
          <w:u w:val="none"/>
          <w:lang w:val="en-US" w:eastAsia="zh-CN"/>
          <w14:textFill>
            <w14:solidFill>
              <w14:schemeClr w14:val="tx1"/>
            </w14:solidFill>
          </w14:textFill>
        </w:rPr>
      </w:pPr>
      <w:r>
        <w:rPr>
          <w:rFonts w:hint="default" w:ascii="仿宋" w:hAnsi="仿宋" w:eastAsia="仿宋" w:cs="仿宋"/>
          <w:b/>
          <w:bCs/>
          <w:color w:val="000000" w:themeColor="text1"/>
          <w:sz w:val="28"/>
          <w:szCs w:val="28"/>
          <w:u w:val="none"/>
          <w:lang w:val="en-US" w:eastAsia="zh-CN"/>
          <w14:textFill>
            <w14:solidFill>
              <w14:schemeClr w14:val="tx1"/>
            </w14:solidFill>
          </w14:textFill>
        </w:rPr>
        <w:br w:type="page"/>
      </w:r>
    </w:p>
    <w:p w14:paraId="11E3847C">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响应报价表</w:t>
      </w:r>
    </w:p>
    <w:p w14:paraId="5D760F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left"/>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p>
    <w:p w14:paraId="174AA0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left"/>
        <w:textAlignment w:val="auto"/>
        <w:rPr>
          <w:rFonts w:hint="default" w:ascii="仿宋" w:hAnsi="仿宋" w:eastAsia="仿宋" w:cs="仿宋"/>
          <w:b w:val="0"/>
          <w:bCs w:val="0"/>
          <w:color w:val="000000" w:themeColor="text1"/>
          <w:sz w:val="28"/>
          <w:szCs w:val="28"/>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项目名称：</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市乡投集团安全生产综合应急预案编制服务</w:t>
      </w:r>
    </w:p>
    <w:tbl>
      <w:tblPr>
        <w:tblStyle w:val="1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3"/>
        <w:gridCol w:w="462"/>
        <w:gridCol w:w="1307"/>
        <w:gridCol w:w="2478"/>
        <w:gridCol w:w="1499"/>
        <w:gridCol w:w="1505"/>
      </w:tblGrid>
      <w:tr w14:paraId="1AF2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625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报价单位</w:t>
            </w: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0F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3B1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eastAsia="zh-CN"/>
              </w:rPr>
              <w:t>响应报价</w:t>
            </w:r>
            <w:r>
              <w:rPr>
                <w:rFonts w:hint="eastAsia" w:ascii="宋体" w:hAnsi="宋体" w:eastAsia="宋体" w:cs="宋体"/>
                <w:b/>
                <w:bCs/>
                <w:i w:val="0"/>
                <w:iCs w:val="0"/>
                <w:color w:val="000000"/>
                <w:sz w:val="22"/>
                <w:szCs w:val="22"/>
                <w:u w:val="none"/>
                <w:lang w:val="en-US" w:eastAsia="zh-CN"/>
              </w:rPr>
              <w:t>/元</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C8FD">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下浮率/%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B2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200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741" w:type="pct"/>
            <w:vMerge w:val="restart"/>
            <w:tcBorders>
              <w:top w:val="single" w:color="000000" w:sz="4" w:space="0"/>
              <w:left w:val="single" w:color="000000" w:sz="4" w:space="0"/>
              <w:right w:val="single" w:color="000000" w:sz="4" w:space="0"/>
            </w:tcBorders>
            <w:shd w:val="clear" w:color="auto" w:fill="auto"/>
            <w:vAlign w:val="center"/>
          </w:tcPr>
          <w:p w14:paraId="11B28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BD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调研</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A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0" w:type="pct"/>
            <w:vMerge w:val="restart"/>
            <w:tcBorders>
              <w:top w:val="single" w:color="000000" w:sz="4" w:space="0"/>
              <w:left w:val="single" w:color="000000" w:sz="4" w:space="0"/>
              <w:right w:val="single" w:color="000000" w:sz="4" w:space="0"/>
            </w:tcBorders>
            <w:shd w:val="clear" w:color="auto" w:fill="auto"/>
            <w:noWrap/>
            <w:vAlign w:val="center"/>
          </w:tcPr>
          <w:p w14:paraId="3910CC51">
            <w:pPr>
              <w:jc w:val="center"/>
              <w:rPr>
                <w:rFonts w:hint="default" w:ascii="宋体" w:hAnsi="宋体" w:eastAsia="宋体" w:cs="宋体"/>
                <w:i w:val="0"/>
                <w:iCs w:val="0"/>
                <w:color w:val="000000"/>
                <w:sz w:val="24"/>
                <w:szCs w:val="24"/>
                <w:u w:val="none"/>
                <w:lang w:val="en-US" w:eastAsia="zh-CN"/>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AD28">
            <w:pPr>
              <w:jc w:val="center"/>
              <w:rPr>
                <w:rFonts w:hint="eastAsia" w:ascii="宋体" w:hAnsi="宋体" w:eastAsia="宋体" w:cs="宋体"/>
                <w:i w:val="0"/>
                <w:iCs w:val="0"/>
                <w:color w:val="000000"/>
                <w:sz w:val="24"/>
                <w:szCs w:val="24"/>
                <w:u w:val="none"/>
              </w:rPr>
            </w:pPr>
          </w:p>
        </w:tc>
      </w:tr>
      <w:tr w14:paraId="38A4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41" w:type="pct"/>
            <w:vMerge w:val="continue"/>
            <w:tcBorders>
              <w:left w:val="single" w:color="000000" w:sz="4" w:space="0"/>
              <w:right w:val="single" w:color="000000" w:sz="4" w:space="0"/>
            </w:tcBorders>
            <w:shd w:val="clear" w:color="auto" w:fill="auto"/>
            <w:vAlign w:val="center"/>
          </w:tcPr>
          <w:p w14:paraId="30C233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09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6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应急资源调查报告</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3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0" w:type="pct"/>
            <w:vMerge w:val="continue"/>
            <w:tcBorders>
              <w:left w:val="single" w:color="000000" w:sz="4" w:space="0"/>
              <w:right w:val="single" w:color="000000" w:sz="4" w:space="0"/>
            </w:tcBorders>
            <w:shd w:val="clear" w:color="auto" w:fill="auto"/>
            <w:noWrap/>
            <w:vAlign w:val="center"/>
          </w:tcPr>
          <w:p w14:paraId="7B35D981">
            <w:pPr>
              <w:jc w:val="center"/>
              <w:rPr>
                <w:rFonts w:hint="default" w:ascii="宋体" w:hAnsi="宋体" w:eastAsia="宋体" w:cs="宋体"/>
                <w:i w:val="0"/>
                <w:iCs w:val="0"/>
                <w:color w:val="000000"/>
                <w:sz w:val="24"/>
                <w:szCs w:val="24"/>
                <w:u w:val="none"/>
                <w:lang w:val="en-US" w:eastAsia="zh-CN"/>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867F">
            <w:pPr>
              <w:jc w:val="center"/>
              <w:rPr>
                <w:rFonts w:hint="eastAsia" w:ascii="宋体" w:hAnsi="宋体" w:eastAsia="宋体" w:cs="宋体"/>
                <w:i w:val="0"/>
                <w:iCs w:val="0"/>
                <w:color w:val="000000"/>
                <w:sz w:val="24"/>
                <w:szCs w:val="24"/>
                <w:u w:val="none"/>
              </w:rPr>
            </w:pPr>
          </w:p>
        </w:tc>
      </w:tr>
      <w:tr w14:paraId="26E2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41" w:type="pct"/>
            <w:vMerge w:val="continue"/>
            <w:tcBorders>
              <w:left w:val="single" w:color="000000" w:sz="4" w:space="0"/>
              <w:right w:val="single" w:color="000000" w:sz="4" w:space="0"/>
            </w:tcBorders>
            <w:shd w:val="clear" w:color="auto" w:fill="auto"/>
            <w:vAlign w:val="center"/>
          </w:tcPr>
          <w:p w14:paraId="2FB7F8F6">
            <w:pPr>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03CC4">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6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风险评估</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4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0" w:type="pct"/>
            <w:vMerge w:val="continue"/>
            <w:tcBorders>
              <w:left w:val="single" w:color="000000" w:sz="4" w:space="0"/>
              <w:right w:val="single" w:color="000000" w:sz="4" w:space="0"/>
            </w:tcBorders>
            <w:shd w:val="clear" w:color="auto" w:fill="auto"/>
            <w:noWrap/>
            <w:vAlign w:val="center"/>
          </w:tcPr>
          <w:p w14:paraId="2EDE9545">
            <w:pPr>
              <w:jc w:val="center"/>
              <w:rPr>
                <w:rFonts w:hint="default" w:ascii="宋体" w:hAnsi="宋体" w:eastAsia="宋体" w:cs="宋体"/>
                <w:i w:val="0"/>
                <w:iCs w:val="0"/>
                <w:color w:val="000000"/>
                <w:sz w:val="24"/>
                <w:szCs w:val="24"/>
                <w:u w:val="none"/>
                <w:lang w:val="en-US" w:eastAsia="zh-CN"/>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76C4">
            <w:pPr>
              <w:jc w:val="center"/>
              <w:rPr>
                <w:rFonts w:hint="eastAsia" w:ascii="宋体" w:hAnsi="宋体" w:eastAsia="宋体" w:cs="宋体"/>
                <w:i w:val="0"/>
                <w:iCs w:val="0"/>
                <w:color w:val="000000"/>
                <w:sz w:val="24"/>
                <w:szCs w:val="24"/>
                <w:u w:val="none"/>
              </w:rPr>
            </w:pPr>
          </w:p>
        </w:tc>
      </w:tr>
      <w:tr w14:paraId="4165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41" w:type="pct"/>
            <w:vMerge w:val="continue"/>
            <w:tcBorders>
              <w:left w:val="single" w:color="000000" w:sz="4" w:space="0"/>
              <w:right w:val="single" w:color="000000" w:sz="4" w:space="0"/>
            </w:tcBorders>
            <w:shd w:val="clear" w:color="auto" w:fill="auto"/>
            <w:vAlign w:val="center"/>
          </w:tcPr>
          <w:p w14:paraId="7E7C776B">
            <w:pPr>
              <w:jc w:val="center"/>
              <w:rPr>
                <w:rFonts w:hint="eastAsia" w:ascii="宋体" w:hAnsi="宋体" w:eastAsia="宋体" w:cs="宋体"/>
                <w:i w:val="0"/>
                <w:iCs w:val="0"/>
                <w:color w:val="000000"/>
                <w:sz w:val="22"/>
                <w:szCs w:val="22"/>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9793">
            <w:pPr>
              <w:jc w:val="center"/>
              <w:rPr>
                <w:rFonts w:hint="eastAsia" w:ascii="宋体" w:hAnsi="宋体" w:eastAsia="宋体" w:cs="宋体"/>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应急预案编写</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2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0" w:type="pct"/>
            <w:vMerge w:val="continue"/>
            <w:tcBorders>
              <w:left w:val="single" w:color="000000" w:sz="4" w:space="0"/>
              <w:right w:val="single" w:color="000000" w:sz="4" w:space="0"/>
            </w:tcBorders>
            <w:shd w:val="clear" w:color="auto" w:fill="auto"/>
            <w:noWrap/>
            <w:vAlign w:val="center"/>
          </w:tcPr>
          <w:p w14:paraId="15810132">
            <w:pPr>
              <w:jc w:val="center"/>
              <w:rPr>
                <w:rFonts w:hint="default" w:ascii="宋体" w:hAnsi="宋体" w:eastAsia="宋体" w:cs="宋体"/>
                <w:i w:val="0"/>
                <w:iCs w:val="0"/>
                <w:color w:val="000000"/>
                <w:sz w:val="22"/>
                <w:szCs w:val="22"/>
                <w:u w:val="none"/>
                <w:lang w:val="en-US" w:eastAsia="zh-CN"/>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63C6">
            <w:pPr>
              <w:jc w:val="center"/>
              <w:rPr>
                <w:rFonts w:hint="eastAsia" w:ascii="宋体" w:hAnsi="宋体" w:eastAsia="宋体" w:cs="宋体"/>
                <w:i w:val="0"/>
                <w:iCs w:val="0"/>
                <w:color w:val="000000"/>
                <w:sz w:val="24"/>
                <w:szCs w:val="24"/>
                <w:u w:val="none"/>
              </w:rPr>
            </w:pPr>
          </w:p>
        </w:tc>
      </w:tr>
      <w:tr w14:paraId="5816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41" w:type="pct"/>
            <w:vMerge w:val="continue"/>
            <w:tcBorders>
              <w:left w:val="single" w:color="000000" w:sz="4" w:space="0"/>
              <w:right w:val="single" w:color="000000" w:sz="4" w:space="0"/>
            </w:tcBorders>
            <w:shd w:val="clear" w:color="auto" w:fill="auto"/>
            <w:vAlign w:val="center"/>
          </w:tcPr>
          <w:p w14:paraId="1281F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3A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D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0" w:type="pct"/>
            <w:vMerge w:val="continue"/>
            <w:tcBorders>
              <w:left w:val="single" w:color="000000" w:sz="4" w:space="0"/>
              <w:right w:val="single" w:color="000000" w:sz="4" w:space="0"/>
            </w:tcBorders>
            <w:shd w:val="clear" w:color="auto" w:fill="auto"/>
            <w:noWrap/>
            <w:vAlign w:val="center"/>
          </w:tcPr>
          <w:p w14:paraId="33DC9FC8">
            <w:pPr>
              <w:jc w:val="center"/>
              <w:rPr>
                <w:rFonts w:hint="default" w:ascii="宋体" w:hAnsi="宋体" w:eastAsia="宋体" w:cs="宋体"/>
                <w:i w:val="0"/>
                <w:iCs w:val="0"/>
                <w:color w:val="000000"/>
                <w:sz w:val="22"/>
                <w:szCs w:val="22"/>
                <w:u w:val="none"/>
                <w:lang w:val="en-US" w:eastAsia="zh-CN"/>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9795">
            <w:pPr>
              <w:jc w:val="center"/>
              <w:rPr>
                <w:rFonts w:hint="eastAsia" w:ascii="宋体" w:hAnsi="宋体" w:eastAsia="宋体" w:cs="宋体"/>
                <w:i w:val="0"/>
                <w:iCs w:val="0"/>
                <w:color w:val="000000"/>
                <w:sz w:val="24"/>
                <w:szCs w:val="24"/>
                <w:u w:val="none"/>
              </w:rPr>
            </w:pPr>
          </w:p>
        </w:tc>
      </w:tr>
      <w:tr w14:paraId="3058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1" w:type="pct"/>
            <w:vMerge w:val="continue"/>
            <w:tcBorders>
              <w:left w:val="single" w:color="000000" w:sz="4" w:space="0"/>
              <w:right w:val="single" w:color="000000" w:sz="4" w:space="0"/>
            </w:tcBorders>
            <w:shd w:val="clear" w:color="auto" w:fill="auto"/>
            <w:vAlign w:val="center"/>
          </w:tcPr>
          <w:p w14:paraId="5A366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63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管理费</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3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0" w:type="pct"/>
            <w:vMerge w:val="continue"/>
            <w:tcBorders>
              <w:left w:val="single" w:color="000000" w:sz="4" w:space="0"/>
              <w:right w:val="single" w:color="000000" w:sz="4" w:space="0"/>
            </w:tcBorders>
            <w:shd w:val="clear" w:color="auto" w:fill="auto"/>
            <w:noWrap/>
            <w:vAlign w:val="center"/>
          </w:tcPr>
          <w:p w14:paraId="5D6B9A84">
            <w:pPr>
              <w:jc w:val="center"/>
              <w:rPr>
                <w:rFonts w:hint="default" w:ascii="宋体" w:hAnsi="宋体" w:eastAsia="宋体" w:cs="宋体"/>
                <w:i w:val="0"/>
                <w:iCs w:val="0"/>
                <w:color w:val="000000"/>
                <w:sz w:val="22"/>
                <w:szCs w:val="22"/>
                <w:u w:val="none"/>
                <w:lang w:val="en-US" w:eastAsia="zh-CN"/>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A974">
            <w:pPr>
              <w:jc w:val="center"/>
              <w:rPr>
                <w:rFonts w:hint="eastAsia" w:ascii="宋体" w:hAnsi="宋体" w:eastAsia="宋体" w:cs="宋体"/>
                <w:i w:val="0"/>
                <w:iCs w:val="0"/>
                <w:color w:val="000000"/>
                <w:sz w:val="24"/>
                <w:szCs w:val="24"/>
                <w:u w:val="none"/>
              </w:rPr>
            </w:pPr>
          </w:p>
        </w:tc>
      </w:tr>
      <w:tr w14:paraId="5E4C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741" w:type="pct"/>
            <w:vMerge w:val="continue"/>
            <w:tcBorders>
              <w:left w:val="single" w:color="000000" w:sz="4" w:space="0"/>
              <w:bottom w:val="single" w:color="000000" w:sz="4" w:space="0"/>
              <w:right w:val="single" w:color="000000" w:sz="4" w:space="0"/>
            </w:tcBorders>
            <w:shd w:val="clear" w:color="auto" w:fill="auto"/>
            <w:vAlign w:val="center"/>
          </w:tcPr>
          <w:p w14:paraId="1630DC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8"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FD2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1455" w:type="pct"/>
            <w:tcBorders>
              <w:top w:val="single" w:color="000000" w:sz="4" w:space="0"/>
              <w:left w:val="single" w:color="auto" w:sz="4" w:space="0"/>
              <w:bottom w:val="single" w:color="000000" w:sz="4" w:space="0"/>
              <w:right w:val="single" w:color="000000" w:sz="4" w:space="0"/>
            </w:tcBorders>
            <w:shd w:val="clear" w:color="auto" w:fill="auto"/>
            <w:vAlign w:val="center"/>
          </w:tcPr>
          <w:p w14:paraId="5F16B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0" w:type="pct"/>
            <w:vMerge w:val="continue"/>
            <w:tcBorders>
              <w:left w:val="single" w:color="000000" w:sz="4" w:space="0"/>
              <w:bottom w:val="single" w:color="000000" w:sz="4" w:space="0"/>
              <w:right w:val="single" w:color="000000" w:sz="4" w:space="0"/>
            </w:tcBorders>
            <w:shd w:val="clear" w:color="auto" w:fill="auto"/>
            <w:noWrap/>
            <w:vAlign w:val="center"/>
          </w:tcPr>
          <w:p w14:paraId="45EFAB5B">
            <w:pPr>
              <w:jc w:val="center"/>
              <w:rPr>
                <w:rFonts w:hint="eastAsia" w:ascii="宋体" w:hAnsi="宋体" w:eastAsia="宋体" w:cs="宋体"/>
                <w:i w:val="0"/>
                <w:iCs w:val="0"/>
                <w:color w:val="000000"/>
                <w:sz w:val="22"/>
                <w:szCs w:val="22"/>
                <w:u w:val="none"/>
                <w:lang w:val="en-US" w:eastAsia="zh-CN"/>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C9A0">
            <w:pPr>
              <w:jc w:val="center"/>
              <w:rPr>
                <w:rFonts w:hint="eastAsia" w:ascii="宋体" w:hAnsi="宋体" w:eastAsia="宋体" w:cs="宋体"/>
                <w:i w:val="0"/>
                <w:iCs w:val="0"/>
                <w:color w:val="000000"/>
                <w:sz w:val="24"/>
                <w:szCs w:val="24"/>
                <w:u w:val="none"/>
              </w:rPr>
            </w:pPr>
          </w:p>
        </w:tc>
      </w:tr>
      <w:tr w14:paraId="7082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780" w:type="pct"/>
            <w:gridSpan w:val="3"/>
            <w:vMerge w:val="restart"/>
            <w:tcBorders>
              <w:top w:val="nil"/>
              <w:left w:val="single" w:color="000000" w:sz="4" w:space="0"/>
              <w:right w:val="single" w:color="auto" w:sz="4" w:space="0"/>
            </w:tcBorders>
            <w:shd w:val="clear" w:color="auto" w:fill="auto"/>
            <w:noWrap/>
            <w:vAlign w:val="center"/>
          </w:tcPr>
          <w:p w14:paraId="6FB943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响应报价</w:t>
            </w:r>
          </w:p>
        </w:tc>
        <w:tc>
          <w:tcPr>
            <w:tcW w:w="3219" w:type="pct"/>
            <w:gridSpan w:val="3"/>
            <w:tcBorders>
              <w:top w:val="nil"/>
              <w:left w:val="single" w:color="auto" w:sz="4" w:space="0"/>
              <w:bottom w:val="nil"/>
              <w:right w:val="single" w:color="000000" w:sz="4" w:space="0"/>
            </w:tcBorders>
            <w:shd w:val="clear" w:color="auto" w:fill="auto"/>
            <w:noWrap/>
            <w:vAlign w:val="center"/>
          </w:tcPr>
          <w:p w14:paraId="2F35418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响应报价合计：￥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FFFFFF" w:themeColor="background1"/>
                <w:kern w:val="0"/>
                <w:sz w:val="22"/>
                <w:szCs w:val="22"/>
                <w:u w:val="single"/>
                <w:lang w:val="en-US" w:eastAsia="zh-CN" w:bidi="ar"/>
                <w14:textFill>
                  <w14:solidFill>
                    <w14:schemeClr w14:val="bg1"/>
                  </w14:solidFill>
                </w14:textFill>
              </w:rPr>
              <w:t xml:space="preserve"> 好</w:t>
            </w:r>
          </w:p>
        </w:tc>
      </w:tr>
      <w:tr w14:paraId="51A4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780" w:type="pct"/>
            <w:gridSpan w:val="3"/>
            <w:vMerge w:val="continue"/>
            <w:tcBorders>
              <w:left w:val="single" w:color="000000" w:sz="4" w:space="0"/>
              <w:bottom w:val="single" w:color="000000" w:sz="4" w:space="0"/>
              <w:right w:val="single" w:color="auto" w:sz="4" w:space="0"/>
            </w:tcBorders>
            <w:shd w:val="clear" w:color="auto" w:fill="auto"/>
            <w:noWrap/>
            <w:vAlign w:val="center"/>
          </w:tcPr>
          <w:p w14:paraId="65B9E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19" w:type="pct"/>
            <w:gridSpan w:val="3"/>
            <w:tcBorders>
              <w:top w:val="nil"/>
              <w:left w:val="single" w:color="auto" w:sz="4" w:space="0"/>
              <w:bottom w:val="single" w:color="000000" w:sz="4" w:space="0"/>
              <w:right w:val="single" w:color="000000" w:sz="4" w:space="0"/>
            </w:tcBorders>
            <w:shd w:val="clear" w:color="auto" w:fill="auto"/>
            <w:noWrap/>
            <w:vAlign w:val="center"/>
          </w:tcPr>
          <w:p w14:paraId="3456E79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人民币（大写）：</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FFFFFF" w:themeColor="background1"/>
                <w:kern w:val="0"/>
                <w:sz w:val="22"/>
                <w:szCs w:val="22"/>
                <w:u w:val="single"/>
                <w:lang w:val="en-US" w:eastAsia="zh-CN" w:bidi="ar"/>
                <w14:textFill>
                  <w14:solidFill>
                    <w14:schemeClr w14:val="bg1"/>
                  </w14:solidFill>
                </w14:textFill>
              </w:rPr>
              <w:t>好</w:t>
            </w:r>
          </w:p>
        </w:tc>
      </w:tr>
    </w:tbl>
    <w:p w14:paraId="7B08A7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注：① 报价总计包含税费等一切相关费用；</w:t>
      </w:r>
    </w:p>
    <w:p w14:paraId="0BC33B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② 响应报价=采购控制价*（1-下浮率）</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w:t>
      </w:r>
    </w:p>
    <w:p w14:paraId="717F6A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39D8FC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供应商全称：（盖章）</w:t>
      </w:r>
    </w:p>
    <w:p w14:paraId="7A959B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3D5057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受托人（签字）：</w:t>
      </w:r>
    </w:p>
    <w:p w14:paraId="1EC52A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bCs/>
          <w:color w:val="000000" w:themeColor="text1"/>
          <w:sz w:val="28"/>
          <w:szCs w:val="28"/>
          <w:u w:val="none"/>
          <w:lang w:val="en-US" w:eastAsia="zh-CN"/>
          <w14:textFill>
            <w14:solidFill>
              <w14:schemeClr w14:val="tx1"/>
            </w14:solidFill>
          </w14:textFill>
        </w:rPr>
      </w:pPr>
    </w:p>
    <w:p w14:paraId="13303B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bCs/>
          <w:color w:val="000000" w:themeColor="text1"/>
          <w:sz w:val="28"/>
          <w:szCs w:val="28"/>
          <w:u w:val="none"/>
          <w:lang w:val="en-US" w:eastAsia="zh-CN"/>
          <w14:textFill>
            <w14:solidFill>
              <w14:schemeClr w14:val="tx1"/>
            </w14:solidFill>
          </w14:textFill>
        </w:rPr>
      </w:pPr>
    </w:p>
    <w:p w14:paraId="4B622621">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资格证明文件</w:t>
      </w:r>
    </w:p>
    <w:p w14:paraId="72C647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258E21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5A158993">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营业执照,具备独立法人资格（提供营业执照副本复印件加盖公章）；</w:t>
      </w:r>
    </w:p>
    <w:p w14:paraId="3386AC47">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在海南省内具有独立办公场所（独立办公场所提供房产证明或房屋租赁合同证明复印件并加盖公章，同时提交具备所必须的办公、设施等条件承诺书（格式后附））；</w:t>
      </w:r>
    </w:p>
    <w:p w14:paraId="364B7AD9">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2022年以来3个类似项目的业绩（提供业绩合同或成交通知书复印件加盖公章）；</w:t>
      </w:r>
    </w:p>
    <w:p w14:paraId="0AED4472">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不存在不良行为或信用记录（提供邀请之日起至响应截止时间内，在“信用中国”网站中未被列入“重大税收违法案件当事人名单”、“政府采购严重违法失信名单”、在“中国执行信息公开网”未被列入“失信被执行人名单”的网页查询结果截图，以上资料均加盖单位公章）</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w:t>
      </w:r>
    </w:p>
    <w:p w14:paraId="1221D275">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没有处于被责令停业，投标资格被取消，财产被接管、冻结，破产，在最近三年内没有骗取中标和严重违约及重大服务质量问题。</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（提供声明函</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（格式后附）</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w:t>
      </w:r>
    </w:p>
    <w:p w14:paraId="42213B5D">
      <w:pPr>
        <w:spacing w:line="240" w:lineRule="auto"/>
        <w:ind w:firstLine="0" w:firstLineChars="0"/>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br w:type="page"/>
      </w:r>
    </w:p>
    <w:p w14:paraId="2BE907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44"/>
          <w:szCs w:val="44"/>
          <w:u w:val="none"/>
          <w:lang w:val="en-US" w:eastAsia="zh-CN"/>
          <w14:textFill>
            <w14:solidFill>
              <w14:schemeClr w14:val="tx1"/>
            </w14:solidFill>
          </w14:textFill>
        </w:rPr>
      </w:pPr>
      <w:r>
        <w:rPr>
          <w:rFonts w:hint="eastAsia" w:ascii="仿宋" w:hAnsi="仿宋" w:eastAsia="仿宋" w:cs="仿宋"/>
          <w:b/>
          <w:bCs/>
          <w:color w:val="000000" w:themeColor="text1"/>
          <w:sz w:val="44"/>
          <w:szCs w:val="44"/>
          <w:u w:val="none"/>
          <w:lang w:val="en-US" w:eastAsia="zh-CN"/>
          <w14:textFill>
            <w14:solidFill>
              <w14:schemeClr w14:val="tx1"/>
            </w14:solidFill>
          </w14:textFill>
        </w:rPr>
        <w:t>承诺书</w:t>
      </w:r>
    </w:p>
    <w:p w14:paraId="0225C4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bCs/>
          <w:color w:val="000000" w:themeColor="text1"/>
          <w:sz w:val="28"/>
          <w:szCs w:val="28"/>
          <w:u w:val="none"/>
          <w:lang w:val="en-US" w:eastAsia="zh-CN"/>
          <w14:textFill>
            <w14:solidFill>
              <w14:schemeClr w14:val="tx1"/>
            </w14:solidFill>
          </w14:textFill>
        </w:rPr>
      </w:pPr>
    </w:p>
    <w:p w14:paraId="1752EF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致：海口市乡村振兴投资发展集团有限公司</w:t>
      </w:r>
    </w:p>
    <w:p w14:paraId="62D73A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我司具备从事</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安全咨询</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业务的</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工作</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场所、服务设施，具有履行合同的能力，包括专业、技术、管理、经验、信誉、资金、设备、人员等方面要求，如有虚假，</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招标（采购）</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人有权取消我司成交资格。</w:t>
      </w:r>
    </w:p>
    <w:p w14:paraId="0039FB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特此承诺。</w:t>
      </w:r>
    </w:p>
    <w:p w14:paraId="4E67B4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02BC31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4BA3E7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供应商全称：          （盖章）</w:t>
      </w:r>
    </w:p>
    <w:p w14:paraId="54C52A13">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0" w:firstLineChars="0"/>
        <w:jc w:val="right"/>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 xml:space="preserve">日期：    年   月   日  </w:t>
      </w:r>
    </w:p>
    <w:p w14:paraId="34662FEA">
      <w:pPr>
        <w:jc w:val="center"/>
        <w:rPr>
          <w:rFonts w:hint="eastAsia" w:ascii="仿宋" w:hAnsi="仿宋" w:eastAsia="仿宋" w:cs="仿宋"/>
          <w:b/>
          <w:bCs/>
          <w:color w:val="000000" w:themeColor="text1"/>
          <w:sz w:val="44"/>
          <w:szCs w:val="44"/>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br w:type="page"/>
      </w:r>
      <w:r>
        <w:rPr>
          <w:rFonts w:hint="eastAsia" w:ascii="仿宋" w:hAnsi="仿宋" w:eastAsia="仿宋" w:cs="仿宋"/>
          <w:b/>
          <w:bCs/>
          <w:color w:val="000000" w:themeColor="text1"/>
          <w:sz w:val="44"/>
          <w:szCs w:val="44"/>
          <w:u w:val="none"/>
          <w:lang w:val="en-US" w:eastAsia="zh-CN"/>
          <w14:textFill>
            <w14:solidFill>
              <w14:schemeClr w14:val="tx1"/>
            </w14:solidFill>
          </w14:textFill>
        </w:rPr>
        <w:t>声明函</w:t>
      </w:r>
    </w:p>
    <w:p w14:paraId="2741E9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bCs/>
          <w:color w:val="000000" w:themeColor="text1"/>
          <w:sz w:val="28"/>
          <w:szCs w:val="28"/>
          <w:u w:val="none"/>
          <w:lang w:val="en-US" w:eastAsia="zh-CN"/>
          <w14:textFill>
            <w14:solidFill>
              <w14:schemeClr w14:val="tx1"/>
            </w14:solidFill>
          </w14:textFill>
        </w:rPr>
      </w:pPr>
    </w:p>
    <w:p w14:paraId="50FC90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致：海口市乡村振兴投资发展集团有限公司</w:t>
      </w:r>
    </w:p>
    <w:p w14:paraId="3CBB23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我司没有处于被责令停业，投标资格被取消，财产被接管、冻结，破产</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以及</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在最近三年内没有骗取中标和严重违约及重大服务质量问题</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等情况</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。如有虚假，</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招标（采购）</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人有权取消我司成交资格。</w:t>
      </w:r>
    </w:p>
    <w:p w14:paraId="25BFD3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特此</w:t>
      </w: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声明</w:t>
      </w: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t>。</w:t>
      </w:r>
    </w:p>
    <w:p w14:paraId="0E840D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798BF5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p>
    <w:p w14:paraId="30C872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供应商全称：          （盖章）</w:t>
      </w:r>
    </w:p>
    <w:p w14:paraId="100E503A">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0" w:firstLineChars="0"/>
        <w:jc w:val="right"/>
        <w:textAlignment w:val="auto"/>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none"/>
          <w:lang w:val="en-US" w:eastAsia="zh-CN"/>
          <w14:textFill>
            <w14:solidFill>
              <w14:schemeClr w14:val="tx1"/>
            </w14:solidFill>
          </w14:textFill>
        </w:rPr>
        <w:t xml:space="preserve">日期：    年   月   日  </w:t>
      </w:r>
    </w:p>
    <w:p w14:paraId="096DA97A">
      <w:pPr>
        <w:rPr>
          <w:rFonts w:hint="default" w:ascii="仿宋" w:hAnsi="仿宋" w:eastAsia="仿宋" w:cs="仿宋"/>
          <w:b w:val="0"/>
          <w:bCs w:val="0"/>
          <w:color w:val="000000" w:themeColor="text1"/>
          <w:sz w:val="28"/>
          <w:szCs w:val="28"/>
          <w:u w:val="none"/>
          <w:lang w:val="en-US" w:eastAsia="zh-CN"/>
          <w14:textFill>
            <w14:solidFill>
              <w14:schemeClr w14:val="tx1"/>
            </w14:solidFill>
          </w14:textFill>
        </w:rPr>
      </w:pPr>
      <w:r>
        <w:rPr>
          <w:rFonts w:hint="default" w:ascii="仿宋" w:hAnsi="仿宋" w:eastAsia="仿宋" w:cs="仿宋"/>
          <w:b w:val="0"/>
          <w:bCs w:val="0"/>
          <w:color w:val="000000" w:themeColor="text1"/>
          <w:sz w:val="28"/>
          <w:szCs w:val="28"/>
          <w:u w:val="none"/>
          <w:lang w:val="en-US" w:eastAsia="zh-CN"/>
          <w14:textFill>
            <w14:solidFill>
              <w14:schemeClr w14:val="tx1"/>
            </w14:solidFill>
          </w14:textFill>
        </w:rPr>
        <w:br w:type="page"/>
      </w:r>
    </w:p>
    <w:p w14:paraId="60CC364C">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Chars="0" w:firstLine="0" w:firstLineChars="0"/>
        <w:jc w:val="center"/>
        <w:textAlignment w:val="auto"/>
        <w:rPr>
          <w:rFonts w:hint="default"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其他材料</w:t>
      </w:r>
    </w:p>
    <w:p w14:paraId="4DDFA4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44"/>
          <w:szCs w:val="44"/>
          <w:lang w:val="en-US" w:eastAsia="zh-CN"/>
          <w14:textFill>
            <w14:solidFill>
              <w14:schemeClr w14:val="tx1"/>
            </w14:solidFill>
          </w14:textFill>
        </w:rPr>
      </w:pPr>
    </w:p>
    <w:p w14:paraId="2FE84A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p>
    <w:p w14:paraId="592E18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（业绩等供应商认为有必要提供的其他材料）</w:t>
      </w:r>
    </w:p>
    <w:p w14:paraId="55958E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p>
    <w:p w14:paraId="3C4878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p>
    <w:p w14:paraId="19F4400B">
      <w:pPr>
        <w:spacing w:line="240" w:lineRule="auto"/>
        <w:ind w:firstLine="0" w:firstLineChars="0"/>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br w:type="page"/>
      </w:r>
    </w:p>
    <w:p w14:paraId="598FE269">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 w:hAnsi="仿宋" w:eastAsia="仿宋" w:cs="仿宋"/>
          <w:b/>
          <w:color w:val="000000" w:themeColor="text1"/>
          <w:sz w:val="44"/>
          <w:szCs w:val="44"/>
          <w:highlight w:val="none"/>
          <w:lang w:val="en-US" w:eastAsia="zh-CN"/>
          <w14:textFill>
            <w14:solidFill>
              <w14:schemeClr w14:val="tx1"/>
            </w14:solidFill>
          </w14:textFill>
        </w:rPr>
      </w:pPr>
      <w:r>
        <w:rPr>
          <w:rFonts w:hint="eastAsia" w:ascii="仿宋" w:hAnsi="仿宋" w:eastAsia="仿宋" w:cs="仿宋"/>
          <w:b/>
          <w:color w:val="000000" w:themeColor="text1"/>
          <w:sz w:val="44"/>
          <w:szCs w:val="44"/>
          <w:highlight w:val="none"/>
          <w:lang w:val="en-US" w:eastAsia="zh-CN"/>
          <w14:textFill>
            <w14:solidFill>
              <w14:schemeClr w14:val="tx1"/>
            </w14:solidFill>
          </w14:textFill>
        </w:rPr>
        <w:t>评标办法</w:t>
      </w:r>
    </w:p>
    <w:p w14:paraId="624CE1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0"/>
        <w:rPr>
          <w:rFonts w:hint="eastAsia" w:ascii="仿宋" w:hAnsi="仿宋" w:eastAsia="仿宋" w:cs="仿宋"/>
          <w:b/>
          <w:color w:val="000000" w:themeColor="text1"/>
          <w:sz w:val="44"/>
          <w:szCs w:val="44"/>
          <w:highlight w:val="none"/>
          <w:lang w:val="en-US" w:eastAsia="zh-CN"/>
          <w14:textFill>
            <w14:solidFill>
              <w14:schemeClr w14:val="tx1"/>
            </w14:solidFill>
          </w14:textFill>
        </w:rPr>
      </w:pPr>
    </w:p>
    <w:p w14:paraId="3D0B50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符合性审查表</w:t>
      </w:r>
    </w:p>
    <w:p w14:paraId="43BFF5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44"/>
          <w:szCs w:val="44"/>
          <w:lang w:val="en-US" w:eastAsia="zh-CN"/>
          <w14:textFill>
            <w14:solidFill>
              <w14:schemeClr w14:val="tx1"/>
            </w14:solidFill>
          </w14:textFill>
        </w:rPr>
      </w:pPr>
    </w:p>
    <w:p w14:paraId="3D18F9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项目名称：</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市乡投集团安全生产综合应急预案编制服务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309"/>
        <w:gridCol w:w="2174"/>
        <w:gridCol w:w="1182"/>
        <w:gridCol w:w="1144"/>
        <w:gridCol w:w="1195"/>
        <w:gridCol w:w="989"/>
      </w:tblGrid>
      <w:tr w14:paraId="368C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29" w:type="dxa"/>
            <w:vAlign w:val="center"/>
          </w:tcPr>
          <w:p w14:paraId="0F7FB1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vertAlign w:val="baseline"/>
                <w:lang w:val="en-US" w:eastAsia="zh-CN"/>
                <w14:textFill>
                  <w14:solidFill>
                    <w14:schemeClr w14:val="tx1"/>
                  </w14:solidFill>
                </w14:textFill>
              </w:rPr>
              <w:t>序号</w:t>
            </w:r>
          </w:p>
        </w:tc>
        <w:tc>
          <w:tcPr>
            <w:tcW w:w="1309" w:type="dxa"/>
            <w:vAlign w:val="center"/>
          </w:tcPr>
          <w:p w14:paraId="377B10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vertAlign w:val="baseline"/>
                <w:lang w:val="en-US" w:eastAsia="zh-CN"/>
                <w14:textFill>
                  <w14:solidFill>
                    <w14:schemeClr w14:val="tx1"/>
                  </w14:solidFill>
                </w14:textFill>
              </w:rPr>
              <w:t>审查事项</w:t>
            </w:r>
          </w:p>
        </w:tc>
        <w:tc>
          <w:tcPr>
            <w:tcW w:w="2174" w:type="dxa"/>
            <w:vAlign w:val="center"/>
          </w:tcPr>
          <w:p w14:paraId="62D501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vertAlign w:val="baseline"/>
                <w:lang w:val="en-US" w:eastAsia="zh-CN"/>
                <w14:textFill>
                  <w14:solidFill>
                    <w14:schemeClr w14:val="tx1"/>
                  </w14:solidFill>
                </w14:textFill>
              </w:rPr>
              <w:t>评议内容</w:t>
            </w:r>
          </w:p>
        </w:tc>
        <w:tc>
          <w:tcPr>
            <w:tcW w:w="1182" w:type="dxa"/>
            <w:vAlign w:val="center"/>
          </w:tcPr>
          <w:p w14:paraId="6BFD44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000000" w:themeColor="text1"/>
                <w:sz w:val="24"/>
                <w:szCs w:val="24"/>
                <w:highlight w:val="none"/>
                <w:vertAlign w:val="baseline"/>
                <w:lang w:val="en-US" w:eastAsia="zh-CN"/>
                <w14:textFill>
                  <w14:solidFill>
                    <w14:schemeClr w14:val="tx1"/>
                  </w14:solidFill>
                </w14:textFill>
              </w:rPr>
            </w:pPr>
          </w:p>
        </w:tc>
        <w:tc>
          <w:tcPr>
            <w:tcW w:w="1144" w:type="dxa"/>
            <w:vAlign w:val="center"/>
          </w:tcPr>
          <w:p w14:paraId="303848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000000" w:themeColor="text1"/>
                <w:sz w:val="24"/>
                <w:szCs w:val="24"/>
                <w:highlight w:val="none"/>
                <w:vertAlign w:val="baseline"/>
                <w:lang w:val="en-US" w:eastAsia="zh-CN"/>
                <w14:textFill>
                  <w14:solidFill>
                    <w14:schemeClr w14:val="tx1"/>
                  </w14:solidFill>
                </w14:textFill>
              </w:rPr>
            </w:pPr>
          </w:p>
        </w:tc>
        <w:tc>
          <w:tcPr>
            <w:tcW w:w="1195" w:type="dxa"/>
            <w:vAlign w:val="center"/>
          </w:tcPr>
          <w:p w14:paraId="5959FD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000000" w:themeColor="text1"/>
                <w:sz w:val="24"/>
                <w:szCs w:val="24"/>
                <w:highlight w:val="none"/>
                <w:vertAlign w:val="baseline"/>
                <w:lang w:val="en-US" w:eastAsia="zh-CN"/>
                <w14:textFill>
                  <w14:solidFill>
                    <w14:schemeClr w14:val="tx1"/>
                  </w14:solidFill>
                </w14:textFill>
              </w:rPr>
            </w:pPr>
          </w:p>
        </w:tc>
        <w:tc>
          <w:tcPr>
            <w:tcW w:w="989" w:type="dxa"/>
            <w:vAlign w:val="center"/>
          </w:tcPr>
          <w:p w14:paraId="312A2A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color w:val="000000" w:themeColor="text1"/>
                <w:sz w:val="24"/>
                <w:szCs w:val="24"/>
                <w:highlight w:val="none"/>
                <w:vertAlign w:val="baseline"/>
                <w:lang w:val="en-US" w:eastAsia="zh-CN"/>
                <w14:textFill>
                  <w14:solidFill>
                    <w14:schemeClr w14:val="tx1"/>
                  </w14:solidFill>
                </w14:textFill>
              </w:rPr>
            </w:pPr>
          </w:p>
        </w:tc>
      </w:tr>
      <w:tr w14:paraId="4696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9" w:type="dxa"/>
            <w:vAlign w:val="center"/>
          </w:tcPr>
          <w:p w14:paraId="31C8C7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w:t>
            </w:r>
          </w:p>
        </w:tc>
        <w:tc>
          <w:tcPr>
            <w:tcW w:w="1309" w:type="dxa"/>
            <w:vAlign w:val="center"/>
          </w:tcPr>
          <w:p w14:paraId="770953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供应商的资格</w:t>
            </w:r>
          </w:p>
        </w:tc>
        <w:tc>
          <w:tcPr>
            <w:tcW w:w="2174" w:type="dxa"/>
            <w:vAlign w:val="center"/>
          </w:tcPr>
          <w:p w14:paraId="4D3949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是否符合供应商资格要求</w:t>
            </w:r>
          </w:p>
        </w:tc>
        <w:tc>
          <w:tcPr>
            <w:tcW w:w="1182" w:type="dxa"/>
            <w:vAlign w:val="center"/>
          </w:tcPr>
          <w:p w14:paraId="663CFB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1144" w:type="dxa"/>
            <w:vAlign w:val="center"/>
          </w:tcPr>
          <w:p w14:paraId="13B4AA5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1195" w:type="dxa"/>
            <w:vAlign w:val="center"/>
          </w:tcPr>
          <w:p w14:paraId="41237A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989" w:type="dxa"/>
            <w:vAlign w:val="center"/>
          </w:tcPr>
          <w:p w14:paraId="16F1E1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r>
      <w:tr w14:paraId="53A1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29" w:type="dxa"/>
            <w:vAlign w:val="center"/>
          </w:tcPr>
          <w:p w14:paraId="31C73D6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2</w:t>
            </w:r>
          </w:p>
        </w:tc>
        <w:tc>
          <w:tcPr>
            <w:tcW w:w="1309" w:type="dxa"/>
            <w:vAlign w:val="center"/>
          </w:tcPr>
          <w:p w14:paraId="5714AB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响应文件的有效性</w:t>
            </w:r>
          </w:p>
        </w:tc>
        <w:tc>
          <w:tcPr>
            <w:tcW w:w="2174" w:type="dxa"/>
            <w:vAlign w:val="center"/>
          </w:tcPr>
          <w:p w14:paraId="33B906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是否符合采购文件样式和签署要求</w:t>
            </w:r>
          </w:p>
        </w:tc>
        <w:tc>
          <w:tcPr>
            <w:tcW w:w="1182" w:type="dxa"/>
            <w:vAlign w:val="center"/>
          </w:tcPr>
          <w:p w14:paraId="52C465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1144" w:type="dxa"/>
            <w:vAlign w:val="center"/>
          </w:tcPr>
          <w:p w14:paraId="031AF9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1195" w:type="dxa"/>
            <w:vAlign w:val="center"/>
          </w:tcPr>
          <w:p w14:paraId="18FBB49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989" w:type="dxa"/>
            <w:vAlign w:val="center"/>
          </w:tcPr>
          <w:p w14:paraId="4B4310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r>
      <w:tr w14:paraId="4226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29" w:type="dxa"/>
            <w:vAlign w:val="center"/>
          </w:tcPr>
          <w:p w14:paraId="568E5B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3</w:t>
            </w:r>
          </w:p>
        </w:tc>
        <w:tc>
          <w:tcPr>
            <w:tcW w:w="1309" w:type="dxa"/>
            <w:vAlign w:val="center"/>
          </w:tcPr>
          <w:p w14:paraId="0FE36E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响应报价</w:t>
            </w:r>
          </w:p>
        </w:tc>
        <w:tc>
          <w:tcPr>
            <w:tcW w:w="2174" w:type="dxa"/>
            <w:vAlign w:val="center"/>
          </w:tcPr>
          <w:p w14:paraId="2177645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是否低于最高控制价</w:t>
            </w:r>
          </w:p>
        </w:tc>
        <w:tc>
          <w:tcPr>
            <w:tcW w:w="1182" w:type="dxa"/>
            <w:vAlign w:val="center"/>
          </w:tcPr>
          <w:p w14:paraId="28C384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1144" w:type="dxa"/>
            <w:vAlign w:val="center"/>
          </w:tcPr>
          <w:p w14:paraId="2CBCF7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1195" w:type="dxa"/>
            <w:vAlign w:val="center"/>
          </w:tcPr>
          <w:p w14:paraId="53E418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989" w:type="dxa"/>
            <w:vAlign w:val="center"/>
          </w:tcPr>
          <w:p w14:paraId="755843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r>
      <w:tr w14:paraId="759C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012" w:type="dxa"/>
            <w:gridSpan w:val="3"/>
            <w:vAlign w:val="center"/>
          </w:tcPr>
          <w:p w14:paraId="6FD4D5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结论</w:t>
            </w:r>
          </w:p>
        </w:tc>
        <w:tc>
          <w:tcPr>
            <w:tcW w:w="1182" w:type="dxa"/>
            <w:vAlign w:val="center"/>
          </w:tcPr>
          <w:p w14:paraId="42CA0A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1144" w:type="dxa"/>
            <w:vAlign w:val="center"/>
          </w:tcPr>
          <w:p w14:paraId="7590BD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1195" w:type="dxa"/>
            <w:vAlign w:val="center"/>
          </w:tcPr>
          <w:p w14:paraId="09E6E0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c>
          <w:tcPr>
            <w:tcW w:w="989" w:type="dxa"/>
            <w:vAlign w:val="center"/>
          </w:tcPr>
          <w:p w14:paraId="49F994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p>
        </w:tc>
      </w:tr>
    </w:tbl>
    <w:p w14:paraId="438808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outlineLvl w:val="0"/>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p>
    <w:p w14:paraId="64D7977A">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0" w:firstLineChars="0"/>
        <w:jc w:val="both"/>
        <w:textAlignment w:val="auto"/>
        <w:outlineLvl w:val="0"/>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表中只需填写“√”或“×”。</w:t>
      </w:r>
    </w:p>
    <w:p w14:paraId="0C7FC342">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0" w:firstLineChars="0"/>
        <w:jc w:val="both"/>
        <w:textAlignment w:val="auto"/>
        <w:outlineLvl w:val="0"/>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在结论中按“一项否决”的原则，只有全部是“√”，填写“√”；只要其中有一项是“×”，填写“×”。</w:t>
      </w:r>
    </w:p>
    <w:p w14:paraId="183567D5">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0" w:firstLineChars="0"/>
        <w:jc w:val="both"/>
        <w:textAlignment w:val="auto"/>
        <w:outlineLvl w:val="0"/>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结论是“√”的，才能进入下一轮；是“×”的被淘汰。</w:t>
      </w:r>
    </w:p>
    <w:p w14:paraId="6D438D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outlineLvl w:val="0"/>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p>
    <w:p w14:paraId="4ACB6C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outlineLvl w:val="0"/>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p>
    <w:p w14:paraId="4FAE2F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outlineLvl w:val="0"/>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评选小组签字：                           日期：</w:t>
      </w:r>
    </w:p>
    <w:p w14:paraId="2E01E13B">
      <w:pPr>
        <w:pStyle w:val="6"/>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 w:hAnsi="仿宋" w:eastAsia="仿宋" w:cs="仿宋"/>
          <w:b/>
          <w:bCs/>
          <w:color w:val="000000" w:themeColor="text1"/>
          <w:sz w:val="28"/>
          <w:szCs w:val="28"/>
          <w:lang w:eastAsia="zh-CN"/>
          <w14:textFill>
            <w14:solidFill>
              <w14:schemeClr w14:val="tx1"/>
            </w14:solidFill>
          </w14:textFill>
        </w:rPr>
      </w:pPr>
    </w:p>
    <w:p w14:paraId="73DE447D">
      <w:pPr>
        <w:pStyle w:val="6"/>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 w:hAnsi="仿宋" w:eastAsia="仿宋" w:cs="仿宋"/>
          <w:b/>
          <w:bCs/>
          <w:color w:val="000000" w:themeColor="text1"/>
          <w:sz w:val="28"/>
          <w:szCs w:val="28"/>
          <w:lang w:eastAsia="zh-CN"/>
          <w14:textFill>
            <w14:solidFill>
              <w14:schemeClr w14:val="tx1"/>
            </w14:solidFill>
          </w14:textFill>
        </w:rPr>
      </w:pPr>
    </w:p>
    <w:p w14:paraId="55C963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响应报价结果表</w:t>
      </w:r>
    </w:p>
    <w:p w14:paraId="7836CCBE">
      <w:pPr>
        <w:pStyle w:val="6"/>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560" w:firstLineChars="200"/>
        <w:jc w:val="both"/>
        <w:textAlignment w:val="auto"/>
        <w:rPr>
          <w:rFonts w:hint="eastAsia" w:ascii="仿宋" w:hAnsi="仿宋" w:eastAsia="仿宋" w:cs="仿宋"/>
          <w:b w:val="0"/>
          <w:bCs w:val="0"/>
          <w:color w:val="000000" w:themeColor="text1"/>
          <w:sz w:val="28"/>
          <w:szCs w:val="28"/>
          <w:lang w:eastAsia="zh-CN"/>
          <w14:textFill>
            <w14:solidFill>
              <w14:schemeClr w14:val="tx1"/>
            </w14:solidFill>
          </w14:textFill>
        </w:rPr>
      </w:pPr>
    </w:p>
    <w:p w14:paraId="3D5620E1">
      <w:pPr>
        <w:pStyle w:val="6"/>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560" w:firstLineChars="200"/>
        <w:jc w:val="both"/>
        <w:textAlignment w:val="auto"/>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lang w:eastAsia="zh-CN"/>
          <w14:textFill>
            <w14:solidFill>
              <w14:schemeClr w14:val="tx1"/>
            </w14:solidFill>
          </w14:textFill>
        </w:rPr>
        <w:t>在通过符合性审查的基础上，选择经评审的报价最低者为成交供应商，（当存在多家单位同为最低价时，由评选小组根据同为最低价的单位情况综合评定实力最优者为成交供应商）。</w:t>
      </w:r>
    </w:p>
    <w:p w14:paraId="61EE3475">
      <w:pPr>
        <w:pStyle w:val="6"/>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both"/>
        <w:textAlignment w:val="auto"/>
        <w:rPr>
          <w:rFonts w:hint="eastAsia" w:ascii="仿宋" w:hAnsi="仿宋" w:eastAsia="仿宋" w:cs="仿宋"/>
          <w:b w:val="0"/>
          <w:bCs w:val="0"/>
          <w:color w:val="000000" w:themeColor="text1"/>
          <w:sz w:val="24"/>
          <w:szCs w:val="24"/>
          <w:lang w:eastAsia="zh-CN"/>
          <w14:textFill>
            <w14:solidFill>
              <w14:schemeClr w14:val="tx1"/>
            </w14:solidFill>
          </w14:textFill>
        </w:rPr>
      </w:pPr>
    </w:p>
    <w:p w14:paraId="000EEDEE">
      <w:pPr>
        <w:pStyle w:val="6"/>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both"/>
        <w:textAlignment w:val="auto"/>
        <w:rPr>
          <w:rFonts w:hint="eastAsia" w:ascii="仿宋" w:hAnsi="仿宋" w:eastAsia="仿宋" w:cs="仿宋"/>
          <w:b w:val="0"/>
          <w:bCs w:val="0"/>
          <w:sz w:val="28"/>
          <w:szCs w:val="28"/>
          <w:u w:val="single"/>
          <w:lang w:eastAsia="zh-CN"/>
        </w:rPr>
      </w:pPr>
      <w:r>
        <w:rPr>
          <w:rFonts w:hint="eastAsia" w:ascii="仿宋" w:hAnsi="仿宋" w:eastAsia="仿宋" w:cs="仿宋"/>
          <w:b w:val="0"/>
          <w:bCs w:val="0"/>
          <w:sz w:val="28"/>
          <w:szCs w:val="28"/>
          <w:lang w:eastAsia="zh-CN"/>
        </w:rPr>
        <w:t>项目名称：</w:t>
      </w:r>
      <w:r>
        <w:rPr>
          <w:rFonts w:hint="eastAsia" w:ascii="仿宋" w:hAnsi="仿宋" w:eastAsia="仿宋" w:cs="仿宋"/>
          <w:b w:val="0"/>
          <w:bCs w:val="0"/>
          <w:sz w:val="28"/>
          <w:szCs w:val="28"/>
          <w:u w:val="single"/>
          <w:lang w:eastAsia="zh-CN"/>
        </w:rPr>
        <w:t>市乡投集团安全生产综合应急预案编制服务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1730"/>
        <w:gridCol w:w="1684"/>
        <w:gridCol w:w="995"/>
        <w:gridCol w:w="1711"/>
      </w:tblGrid>
      <w:tr w14:paraId="293F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402" w:type="dxa"/>
            <w:vAlign w:val="center"/>
          </w:tcPr>
          <w:p w14:paraId="43E0A2EC">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供应商名称</w:t>
            </w:r>
          </w:p>
        </w:tc>
        <w:tc>
          <w:tcPr>
            <w:tcW w:w="1730" w:type="dxa"/>
            <w:vAlign w:val="center"/>
          </w:tcPr>
          <w:p w14:paraId="43652DA6">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响应报价</w:t>
            </w:r>
          </w:p>
        </w:tc>
        <w:tc>
          <w:tcPr>
            <w:tcW w:w="1684" w:type="dxa"/>
            <w:vAlign w:val="center"/>
          </w:tcPr>
          <w:p w14:paraId="7D6EE125">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下浮率</w:t>
            </w:r>
          </w:p>
        </w:tc>
        <w:tc>
          <w:tcPr>
            <w:tcW w:w="995" w:type="dxa"/>
            <w:vAlign w:val="center"/>
          </w:tcPr>
          <w:p w14:paraId="6C27BF16">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名次</w:t>
            </w:r>
          </w:p>
        </w:tc>
        <w:tc>
          <w:tcPr>
            <w:tcW w:w="1711" w:type="dxa"/>
            <w:vAlign w:val="center"/>
          </w:tcPr>
          <w:p w14:paraId="704299EE">
            <w:pPr>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备注</w:t>
            </w:r>
          </w:p>
        </w:tc>
      </w:tr>
      <w:tr w14:paraId="233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02" w:type="dxa"/>
            <w:vAlign w:val="center"/>
          </w:tcPr>
          <w:p w14:paraId="473576F5">
            <w:pPr>
              <w:jc w:val="center"/>
              <w:rPr>
                <w:rFonts w:hint="eastAsia" w:ascii="仿宋" w:hAnsi="仿宋" w:eastAsia="仿宋" w:cs="仿宋"/>
                <w:sz w:val="24"/>
                <w:szCs w:val="24"/>
                <w:lang w:eastAsia="zh-CN"/>
              </w:rPr>
            </w:pPr>
          </w:p>
        </w:tc>
        <w:tc>
          <w:tcPr>
            <w:tcW w:w="1730" w:type="dxa"/>
            <w:vAlign w:val="center"/>
          </w:tcPr>
          <w:p w14:paraId="2B4AD3BC">
            <w:pPr>
              <w:jc w:val="center"/>
              <w:rPr>
                <w:rFonts w:hint="eastAsia" w:ascii="仿宋" w:hAnsi="仿宋" w:eastAsia="仿宋" w:cs="仿宋"/>
                <w:sz w:val="24"/>
                <w:szCs w:val="24"/>
                <w:lang w:eastAsia="zh-CN"/>
              </w:rPr>
            </w:pPr>
          </w:p>
        </w:tc>
        <w:tc>
          <w:tcPr>
            <w:tcW w:w="1684" w:type="dxa"/>
            <w:vAlign w:val="center"/>
          </w:tcPr>
          <w:p w14:paraId="7635FB3C">
            <w:pPr>
              <w:jc w:val="center"/>
              <w:rPr>
                <w:rFonts w:hint="eastAsia" w:ascii="仿宋" w:hAnsi="仿宋" w:eastAsia="仿宋" w:cs="仿宋"/>
                <w:sz w:val="24"/>
                <w:szCs w:val="24"/>
                <w:lang w:eastAsia="zh-CN"/>
              </w:rPr>
            </w:pPr>
          </w:p>
        </w:tc>
        <w:tc>
          <w:tcPr>
            <w:tcW w:w="995" w:type="dxa"/>
            <w:vAlign w:val="center"/>
          </w:tcPr>
          <w:p w14:paraId="40FED618">
            <w:pPr>
              <w:jc w:val="center"/>
              <w:rPr>
                <w:rFonts w:hint="eastAsia" w:ascii="仿宋" w:hAnsi="仿宋" w:eastAsia="仿宋" w:cs="仿宋"/>
                <w:sz w:val="24"/>
                <w:szCs w:val="24"/>
                <w:lang w:eastAsia="zh-CN"/>
              </w:rPr>
            </w:pPr>
          </w:p>
        </w:tc>
        <w:tc>
          <w:tcPr>
            <w:tcW w:w="1711" w:type="dxa"/>
            <w:vAlign w:val="center"/>
          </w:tcPr>
          <w:p w14:paraId="00B7AF52">
            <w:pPr>
              <w:jc w:val="center"/>
              <w:rPr>
                <w:rFonts w:hint="eastAsia" w:ascii="仿宋" w:hAnsi="仿宋" w:eastAsia="仿宋" w:cs="仿宋"/>
                <w:sz w:val="24"/>
                <w:szCs w:val="24"/>
                <w:lang w:eastAsia="zh-CN"/>
              </w:rPr>
            </w:pPr>
          </w:p>
        </w:tc>
      </w:tr>
      <w:tr w14:paraId="5E82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02" w:type="dxa"/>
            <w:vAlign w:val="center"/>
          </w:tcPr>
          <w:p w14:paraId="781EBC81">
            <w:pPr>
              <w:jc w:val="center"/>
              <w:rPr>
                <w:rFonts w:hint="eastAsia" w:ascii="仿宋" w:hAnsi="仿宋" w:eastAsia="仿宋" w:cs="仿宋"/>
                <w:sz w:val="24"/>
                <w:szCs w:val="24"/>
                <w:lang w:eastAsia="zh-CN"/>
              </w:rPr>
            </w:pPr>
          </w:p>
        </w:tc>
        <w:tc>
          <w:tcPr>
            <w:tcW w:w="1730" w:type="dxa"/>
            <w:vAlign w:val="center"/>
          </w:tcPr>
          <w:p w14:paraId="0DCD6018">
            <w:pPr>
              <w:jc w:val="center"/>
              <w:rPr>
                <w:rFonts w:hint="eastAsia" w:ascii="仿宋" w:hAnsi="仿宋" w:eastAsia="仿宋" w:cs="仿宋"/>
                <w:sz w:val="24"/>
                <w:szCs w:val="24"/>
                <w:lang w:eastAsia="zh-CN"/>
              </w:rPr>
            </w:pPr>
          </w:p>
        </w:tc>
        <w:tc>
          <w:tcPr>
            <w:tcW w:w="1684" w:type="dxa"/>
            <w:vAlign w:val="center"/>
          </w:tcPr>
          <w:p w14:paraId="025CE443">
            <w:pPr>
              <w:jc w:val="center"/>
              <w:rPr>
                <w:rFonts w:hint="eastAsia" w:ascii="仿宋" w:hAnsi="仿宋" w:eastAsia="仿宋" w:cs="仿宋"/>
                <w:sz w:val="24"/>
                <w:szCs w:val="24"/>
                <w:lang w:eastAsia="zh-CN"/>
              </w:rPr>
            </w:pPr>
          </w:p>
        </w:tc>
        <w:tc>
          <w:tcPr>
            <w:tcW w:w="995" w:type="dxa"/>
            <w:vAlign w:val="center"/>
          </w:tcPr>
          <w:p w14:paraId="57163E61">
            <w:pPr>
              <w:jc w:val="center"/>
              <w:rPr>
                <w:rFonts w:hint="eastAsia" w:ascii="仿宋" w:hAnsi="仿宋" w:eastAsia="仿宋" w:cs="仿宋"/>
                <w:sz w:val="24"/>
                <w:szCs w:val="24"/>
                <w:lang w:eastAsia="zh-CN"/>
              </w:rPr>
            </w:pPr>
          </w:p>
        </w:tc>
        <w:tc>
          <w:tcPr>
            <w:tcW w:w="1711" w:type="dxa"/>
            <w:vAlign w:val="center"/>
          </w:tcPr>
          <w:p w14:paraId="15B7F353">
            <w:pPr>
              <w:jc w:val="center"/>
              <w:rPr>
                <w:rFonts w:hint="eastAsia" w:ascii="仿宋" w:hAnsi="仿宋" w:eastAsia="仿宋" w:cs="仿宋"/>
                <w:sz w:val="24"/>
                <w:szCs w:val="24"/>
                <w:lang w:eastAsia="zh-CN"/>
              </w:rPr>
            </w:pPr>
          </w:p>
        </w:tc>
      </w:tr>
      <w:tr w14:paraId="5000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02" w:type="dxa"/>
            <w:vAlign w:val="center"/>
          </w:tcPr>
          <w:p w14:paraId="7BEA29E8">
            <w:pPr>
              <w:jc w:val="center"/>
              <w:rPr>
                <w:rFonts w:hint="eastAsia" w:ascii="仿宋" w:hAnsi="仿宋" w:eastAsia="仿宋" w:cs="仿宋"/>
                <w:sz w:val="24"/>
                <w:szCs w:val="24"/>
                <w:lang w:eastAsia="zh-CN"/>
              </w:rPr>
            </w:pPr>
          </w:p>
        </w:tc>
        <w:tc>
          <w:tcPr>
            <w:tcW w:w="1730" w:type="dxa"/>
            <w:vAlign w:val="center"/>
          </w:tcPr>
          <w:p w14:paraId="655120DE">
            <w:pPr>
              <w:jc w:val="center"/>
              <w:rPr>
                <w:rFonts w:hint="eastAsia" w:ascii="仿宋" w:hAnsi="仿宋" w:eastAsia="仿宋" w:cs="仿宋"/>
                <w:sz w:val="24"/>
                <w:szCs w:val="24"/>
                <w:lang w:eastAsia="zh-CN"/>
              </w:rPr>
            </w:pPr>
          </w:p>
        </w:tc>
        <w:tc>
          <w:tcPr>
            <w:tcW w:w="1684" w:type="dxa"/>
            <w:vAlign w:val="center"/>
          </w:tcPr>
          <w:p w14:paraId="5DE418D5">
            <w:pPr>
              <w:jc w:val="center"/>
              <w:rPr>
                <w:rFonts w:hint="eastAsia" w:ascii="仿宋" w:hAnsi="仿宋" w:eastAsia="仿宋" w:cs="仿宋"/>
                <w:sz w:val="24"/>
                <w:szCs w:val="24"/>
                <w:lang w:eastAsia="zh-CN"/>
              </w:rPr>
            </w:pPr>
          </w:p>
        </w:tc>
        <w:tc>
          <w:tcPr>
            <w:tcW w:w="995" w:type="dxa"/>
            <w:vAlign w:val="center"/>
          </w:tcPr>
          <w:p w14:paraId="74458718">
            <w:pPr>
              <w:jc w:val="center"/>
              <w:rPr>
                <w:rFonts w:hint="eastAsia" w:ascii="仿宋" w:hAnsi="仿宋" w:eastAsia="仿宋" w:cs="仿宋"/>
                <w:sz w:val="24"/>
                <w:szCs w:val="24"/>
                <w:lang w:eastAsia="zh-CN"/>
              </w:rPr>
            </w:pPr>
          </w:p>
        </w:tc>
        <w:tc>
          <w:tcPr>
            <w:tcW w:w="1711" w:type="dxa"/>
            <w:vAlign w:val="center"/>
          </w:tcPr>
          <w:p w14:paraId="1171FAFC">
            <w:pPr>
              <w:jc w:val="center"/>
              <w:rPr>
                <w:rFonts w:hint="eastAsia" w:ascii="仿宋" w:hAnsi="仿宋" w:eastAsia="仿宋" w:cs="仿宋"/>
                <w:sz w:val="24"/>
                <w:szCs w:val="24"/>
                <w:lang w:eastAsia="zh-CN"/>
              </w:rPr>
            </w:pPr>
          </w:p>
        </w:tc>
      </w:tr>
      <w:tr w14:paraId="5D60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402" w:type="dxa"/>
            <w:vAlign w:val="center"/>
          </w:tcPr>
          <w:p w14:paraId="10480D4D">
            <w:pPr>
              <w:jc w:val="center"/>
              <w:rPr>
                <w:rFonts w:hint="eastAsia" w:ascii="仿宋" w:hAnsi="仿宋" w:eastAsia="仿宋" w:cs="仿宋"/>
                <w:sz w:val="24"/>
                <w:szCs w:val="24"/>
                <w:lang w:eastAsia="zh-CN"/>
              </w:rPr>
            </w:pPr>
          </w:p>
        </w:tc>
        <w:tc>
          <w:tcPr>
            <w:tcW w:w="1730" w:type="dxa"/>
            <w:vAlign w:val="center"/>
          </w:tcPr>
          <w:p w14:paraId="555A9AD8">
            <w:pPr>
              <w:jc w:val="center"/>
              <w:rPr>
                <w:rFonts w:hint="eastAsia" w:ascii="仿宋" w:hAnsi="仿宋" w:eastAsia="仿宋" w:cs="仿宋"/>
                <w:sz w:val="24"/>
                <w:szCs w:val="24"/>
                <w:lang w:eastAsia="zh-CN"/>
              </w:rPr>
            </w:pPr>
          </w:p>
        </w:tc>
        <w:tc>
          <w:tcPr>
            <w:tcW w:w="1684" w:type="dxa"/>
            <w:vAlign w:val="center"/>
          </w:tcPr>
          <w:p w14:paraId="40D7DBE6">
            <w:pPr>
              <w:jc w:val="center"/>
              <w:rPr>
                <w:rFonts w:hint="eastAsia" w:ascii="仿宋" w:hAnsi="仿宋" w:eastAsia="仿宋" w:cs="仿宋"/>
                <w:sz w:val="24"/>
                <w:szCs w:val="24"/>
                <w:lang w:eastAsia="zh-CN"/>
              </w:rPr>
            </w:pPr>
          </w:p>
        </w:tc>
        <w:tc>
          <w:tcPr>
            <w:tcW w:w="995" w:type="dxa"/>
            <w:vAlign w:val="center"/>
          </w:tcPr>
          <w:p w14:paraId="1FCBC4A9">
            <w:pPr>
              <w:jc w:val="center"/>
              <w:rPr>
                <w:rFonts w:hint="eastAsia" w:ascii="仿宋" w:hAnsi="仿宋" w:eastAsia="仿宋" w:cs="仿宋"/>
                <w:sz w:val="24"/>
                <w:szCs w:val="24"/>
                <w:lang w:eastAsia="zh-CN"/>
              </w:rPr>
            </w:pPr>
          </w:p>
        </w:tc>
        <w:tc>
          <w:tcPr>
            <w:tcW w:w="1711" w:type="dxa"/>
            <w:vAlign w:val="center"/>
          </w:tcPr>
          <w:p w14:paraId="1665D186">
            <w:pPr>
              <w:jc w:val="center"/>
              <w:rPr>
                <w:rFonts w:hint="eastAsia" w:ascii="仿宋" w:hAnsi="仿宋" w:eastAsia="仿宋" w:cs="仿宋"/>
                <w:sz w:val="24"/>
                <w:szCs w:val="24"/>
                <w:lang w:eastAsia="zh-CN"/>
              </w:rPr>
            </w:pPr>
          </w:p>
        </w:tc>
      </w:tr>
    </w:tbl>
    <w:p w14:paraId="15049096">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sz w:val="28"/>
          <w:szCs w:val="28"/>
          <w:lang w:eastAsia="zh-CN"/>
        </w:rPr>
      </w:pPr>
    </w:p>
    <w:p w14:paraId="6339A0DF">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评审小组签名：</w:t>
      </w:r>
    </w:p>
    <w:p w14:paraId="278C6C21">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监督人签名：</w:t>
      </w:r>
    </w:p>
    <w:p w14:paraId="172A49B3">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sz w:val="28"/>
          <w:szCs w:val="28"/>
          <w:lang w:eastAsia="zh-CN"/>
        </w:rPr>
      </w:pPr>
    </w:p>
    <w:p w14:paraId="5386BD24">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eastAsia" w:ascii="仿宋" w:hAnsi="仿宋" w:eastAsia="仿宋" w:cs="仿宋"/>
          <w:sz w:val="28"/>
          <w:szCs w:val="28"/>
          <w:lang w:eastAsia="zh-CN"/>
        </w:rPr>
      </w:pPr>
    </w:p>
    <w:p w14:paraId="7D48C51E">
      <w:pPr>
        <w:pStyle w:val="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招标（采购）人：海口市乡村振兴投资发展集团有限公司</w:t>
      </w:r>
    </w:p>
    <w:p w14:paraId="27DDFCAC">
      <w:pPr>
        <w:pStyle w:val="6"/>
        <w:keepNext w:val="0"/>
        <w:keepLines w:val="0"/>
        <w:pageBreakBefore w:val="0"/>
        <w:widowControl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地</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点：市乡投集团</w:t>
      </w:r>
      <w:r>
        <w:rPr>
          <w:rFonts w:hint="eastAsia" w:ascii="仿宋" w:hAnsi="仿宋" w:eastAsia="仿宋" w:cs="仿宋"/>
          <w:sz w:val="28"/>
          <w:szCs w:val="28"/>
          <w:highlight w:val="none"/>
          <w:lang w:val="en-US" w:eastAsia="zh-CN"/>
        </w:rPr>
        <w:t xml:space="preserve">8楼第二会议室          </w:t>
      </w:r>
    </w:p>
    <w:p w14:paraId="3AF5AC2D">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期：</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日</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5B335B-C47D-4A8E-B3EB-B83C4C066D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F93F353-13C5-4FDE-A263-97A654890ACA}"/>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D06DC31C-A2EC-47F9-A88E-0F7128A16F04}"/>
  </w:font>
  <w:font w:name="华文中宋">
    <w:panose1 w:val="02010600040101010101"/>
    <w:charset w:val="86"/>
    <w:family w:val="auto"/>
    <w:pitch w:val="default"/>
    <w:sig w:usb0="00000287" w:usb1="080F0000" w:usb2="00000000" w:usb3="00000000" w:csb0="0004009F" w:csb1="DFD70000"/>
    <w:embedRegular r:id="rId4" w:fontKey="{38F88FE0-18CB-4C5D-9DEB-A36C0FEA2F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575E5">
    <w:pPr>
      <w:pStyle w:val="10"/>
      <w:jc w:val="both"/>
    </w:pPr>
  </w:p>
  <w:p w14:paraId="4971335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A6EFC">
    <w:pPr>
      <w:pStyle w:val="1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F797C">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1F797C">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v:textbox>
            </v:shape>
          </w:pict>
        </mc:Fallback>
      </mc:AlternateContent>
    </w:r>
  </w:p>
  <w:p w14:paraId="703AE7D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569C3"/>
    <w:multiLevelType w:val="singleLevel"/>
    <w:tmpl w:val="822569C3"/>
    <w:lvl w:ilvl="0" w:tentative="0">
      <w:start w:val="1"/>
      <w:numFmt w:val="decimal"/>
      <w:suff w:val="nothing"/>
      <w:lvlText w:val="%1."/>
      <w:lvlJc w:val="left"/>
      <w:pPr>
        <w:ind w:left="425" w:hanging="425"/>
      </w:pPr>
      <w:rPr>
        <w:rFonts w:hint="default" w:ascii="仿宋" w:hAnsi="仿宋" w:eastAsia="仿宋" w:cs="仿宋"/>
        <w:sz w:val="28"/>
        <w:szCs w:val="28"/>
      </w:rPr>
    </w:lvl>
  </w:abstractNum>
  <w:abstractNum w:abstractNumId="1">
    <w:nsid w:val="8D954BE0"/>
    <w:multiLevelType w:val="singleLevel"/>
    <w:tmpl w:val="8D954BE0"/>
    <w:lvl w:ilvl="0" w:tentative="0">
      <w:start w:val="1"/>
      <w:numFmt w:val="decimal"/>
      <w:suff w:val="nothing"/>
      <w:lvlText w:val="%1."/>
      <w:lvlJc w:val="left"/>
      <w:pPr>
        <w:ind w:left="425" w:hanging="425"/>
      </w:pPr>
      <w:rPr>
        <w:rFonts w:hint="default" w:ascii="仿宋" w:hAnsi="仿宋" w:eastAsia="仿宋" w:cs="仿宋"/>
        <w:sz w:val="28"/>
        <w:szCs w:val="28"/>
      </w:rPr>
    </w:lvl>
  </w:abstractNum>
  <w:abstractNum w:abstractNumId="2">
    <w:nsid w:val="A7B9DD0D"/>
    <w:multiLevelType w:val="singleLevel"/>
    <w:tmpl w:val="A7B9DD0D"/>
    <w:lvl w:ilvl="0" w:tentative="0">
      <w:start w:val="1"/>
      <w:numFmt w:val="chineseCounting"/>
      <w:suff w:val="nothing"/>
      <w:lvlText w:val="%1、"/>
      <w:lvlJc w:val="left"/>
      <w:pPr>
        <w:ind w:left="0" w:firstLine="420"/>
      </w:pPr>
      <w:rPr>
        <w:rFonts w:hint="eastAsia" w:ascii="仿宋" w:hAnsi="仿宋" w:eastAsia="仿宋" w:cs="仿宋"/>
        <w:sz w:val="28"/>
        <w:szCs w:val="28"/>
      </w:rPr>
    </w:lvl>
  </w:abstractNum>
  <w:abstractNum w:abstractNumId="3">
    <w:nsid w:val="C5CD1FCC"/>
    <w:multiLevelType w:val="singleLevel"/>
    <w:tmpl w:val="C5CD1FCC"/>
    <w:lvl w:ilvl="0" w:tentative="0">
      <w:start w:val="1"/>
      <w:numFmt w:val="chineseCounting"/>
      <w:suff w:val="nothing"/>
      <w:lvlText w:val="%1、"/>
      <w:lvlJc w:val="left"/>
      <w:rPr>
        <w:rFonts w:hint="eastAsia" w:ascii="仿宋" w:hAnsi="仿宋" w:eastAsia="仿宋" w:cs="仿宋"/>
        <w:sz w:val="28"/>
        <w:szCs w:val="28"/>
      </w:rPr>
    </w:lvl>
  </w:abstractNum>
  <w:abstractNum w:abstractNumId="4">
    <w:nsid w:val="C62F1465"/>
    <w:multiLevelType w:val="singleLevel"/>
    <w:tmpl w:val="C62F1465"/>
    <w:lvl w:ilvl="0" w:tentative="0">
      <w:start w:val="1"/>
      <w:numFmt w:val="chineseCounting"/>
      <w:suff w:val="nothing"/>
      <w:lvlText w:val="%1、"/>
      <w:lvlJc w:val="left"/>
      <w:pPr>
        <w:ind w:left="0" w:firstLine="420"/>
      </w:pPr>
      <w:rPr>
        <w:rFonts w:hint="eastAsia" w:ascii="仿宋" w:hAnsi="仿宋" w:eastAsia="仿宋" w:cs="仿宋"/>
        <w:b/>
        <w:bCs/>
        <w:sz w:val="28"/>
        <w:szCs w:val="28"/>
      </w:rPr>
    </w:lvl>
  </w:abstractNum>
  <w:abstractNum w:abstractNumId="5">
    <w:nsid w:val="C8643387"/>
    <w:multiLevelType w:val="singleLevel"/>
    <w:tmpl w:val="C8643387"/>
    <w:lvl w:ilvl="0" w:tentative="0">
      <w:start w:val="1"/>
      <w:numFmt w:val="chineseCounting"/>
      <w:suff w:val="nothing"/>
      <w:lvlText w:val="%1、"/>
      <w:lvlJc w:val="left"/>
      <w:rPr>
        <w:rFonts w:hint="eastAsia" w:ascii="仿宋" w:hAnsi="仿宋" w:eastAsia="仿宋" w:cs="仿宋"/>
        <w:sz w:val="44"/>
        <w:szCs w:val="44"/>
      </w:rPr>
    </w:lvl>
  </w:abstractNum>
  <w:abstractNum w:abstractNumId="6">
    <w:nsid w:val="EFE32D5D"/>
    <w:multiLevelType w:val="singleLevel"/>
    <w:tmpl w:val="EFE32D5D"/>
    <w:lvl w:ilvl="0" w:tentative="0">
      <w:start w:val="1"/>
      <w:numFmt w:val="chineseCounting"/>
      <w:suff w:val="space"/>
      <w:lvlText w:val="第%1部分"/>
      <w:lvlJc w:val="left"/>
      <w:pPr>
        <w:tabs>
          <w:tab w:val="left" w:pos="0"/>
        </w:tabs>
      </w:pPr>
      <w:rPr>
        <w:rFonts w:hint="eastAsia" w:ascii="仿宋" w:hAnsi="仿宋" w:eastAsia="仿宋" w:cs="仿宋"/>
        <w:sz w:val="44"/>
        <w:szCs w:val="44"/>
      </w:rPr>
    </w:lvl>
  </w:abstractNum>
  <w:abstractNum w:abstractNumId="7">
    <w:nsid w:val="F754EF0F"/>
    <w:multiLevelType w:val="multilevel"/>
    <w:tmpl w:val="F754EF0F"/>
    <w:lvl w:ilvl="0" w:tentative="0">
      <w:start w:val="1"/>
      <w:numFmt w:val="decimal"/>
      <w:suff w:val="nothing"/>
      <w:lvlText w:val="%1."/>
      <w:lvlJc w:val="left"/>
      <w:pPr>
        <w:ind w:left="425" w:hanging="425"/>
      </w:pPr>
      <w:rPr>
        <w:rFonts w:hint="default" w:ascii="仿宋" w:hAnsi="仿宋" w:eastAsia="仿宋" w:cs="仿宋"/>
        <w:sz w:val="28"/>
        <w:szCs w:val="28"/>
      </w:rPr>
    </w:lvl>
    <w:lvl w:ilvl="1" w:tentative="0">
      <w:start w:val="1"/>
      <w:numFmt w:val="decimal"/>
      <w:suff w:val="space"/>
      <w:lvlText w:val="%1.%2"/>
      <w:lvlJc w:val="left"/>
      <w:pPr>
        <w:ind w:left="0" w:leftChars="0" w:firstLine="0" w:firstLineChars="0"/>
      </w:pPr>
      <w:rPr>
        <w:rFonts w:hint="default" w:ascii="仿宋" w:hAnsi="仿宋" w:eastAsia="仿宋" w:cs="仿宋"/>
        <w:sz w:val="28"/>
        <w:szCs w:val="28"/>
      </w:rPr>
    </w:lvl>
    <w:lvl w:ilvl="2" w:tentative="0">
      <w:start w:val="1"/>
      <w:numFmt w:val="decimal"/>
      <w:suff w:val="space"/>
      <w:lvlText w:val="%1.%2.%3"/>
      <w:lvlJc w:val="left"/>
      <w:pPr>
        <w:ind w:left="0" w:leftChars="0" w:firstLine="0" w:firstLineChars="0"/>
      </w:pPr>
      <w:rPr>
        <w:rFonts w:hint="default" w:ascii="仿宋" w:hAnsi="仿宋" w:eastAsia="仿宋" w:cs="仿宋"/>
        <w:sz w:val="28"/>
        <w:szCs w:val="28"/>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F81E2F33"/>
    <w:multiLevelType w:val="singleLevel"/>
    <w:tmpl w:val="F81E2F33"/>
    <w:lvl w:ilvl="0" w:tentative="0">
      <w:start w:val="1"/>
      <w:numFmt w:val="decimal"/>
      <w:suff w:val="nothing"/>
      <w:lvlText w:val="%1."/>
      <w:lvlJc w:val="left"/>
      <w:pPr>
        <w:ind w:left="425" w:hanging="425"/>
      </w:pPr>
      <w:rPr>
        <w:rFonts w:hint="default" w:ascii="仿宋" w:hAnsi="仿宋" w:eastAsia="仿宋" w:cs="仿宋"/>
        <w:sz w:val="28"/>
        <w:szCs w:val="28"/>
      </w:rPr>
    </w:lvl>
  </w:abstractNum>
  <w:abstractNum w:abstractNumId="9">
    <w:nsid w:val="07611380"/>
    <w:multiLevelType w:val="singleLevel"/>
    <w:tmpl w:val="07611380"/>
    <w:lvl w:ilvl="0" w:tentative="0">
      <w:start w:val="1"/>
      <w:numFmt w:val="decimal"/>
      <w:suff w:val="nothing"/>
      <w:lvlText w:val="（%1）"/>
      <w:lvlJc w:val="left"/>
      <w:rPr>
        <w:rFonts w:hint="default" w:ascii="仿宋" w:hAnsi="仿宋" w:eastAsia="仿宋" w:cs="仿宋"/>
        <w:sz w:val="28"/>
        <w:szCs w:val="28"/>
      </w:rPr>
    </w:lvl>
  </w:abstractNum>
  <w:abstractNum w:abstractNumId="10">
    <w:nsid w:val="07A12866"/>
    <w:multiLevelType w:val="singleLevel"/>
    <w:tmpl w:val="07A12866"/>
    <w:lvl w:ilvl="0" w:tentative="0">
      <w:start w:val="1"/>
      <w:numFmt w:val="decimal"/>
      <w:suff w:val="nothing"/>
      <w:lvlText w:val="（%1）"/>
      <w:lvlJc w:val="left"/>
      <w:rPr>
        <w:rFonts w:hint="default" w:ascii="仿宋" w:hAnsi="仿宋" w:eastAsia="仿宋" w:cs="仿宋"/>
        <w:sz w:val="28"/>
        <w:szCs w:val="28"/>
      </w:rPr>
    </w:lvl>
  </w:abstractNum>
  <w:abstractNum w:abstractNumId="11">
    <w:nsid w:val="205A3779"/>
    <w:multiLevelType w:val="singleLevel"/>
    <w:tmpl w:val="205A3779"/>
    <w:lvl w:ilvl="0" w:tentative="0">
      <w:start w:val="1"/>
      <w:numFmt w:val="decimal"/>
      <w:suff w:val="nothing"/>
      <w:lvlText w:val="%1、"/>
      <w:lvlJc w:val="left"/>
      <w:rPr>
        <w:rFonts w:hint="default" w:ascii="仿宋" w:hAnsi="仿宋" w:eastAsia="仿宋" w:cs="仿宋"/>
        <w:sz w:val="28"/>
        <w:szCs w:val="28"/>
      </w:rPr>
    </w:lvl>
  </w:abstractNum>
  <w:abstractNum w:abstractNumId="12">
    <w:nsid w:val="21AB3B2F"/>
    <w:multiLevelType w:val="singleLevel"/>
    <w:tmpl w:val="21AB3B2F"/>
    <w:lvl w:ilvl="0" w:tentative="0">
      <w:start w:val="1"/>
      <w:numFmt w:val="decimal"/>
      <w:suff w:val="nothing"/>
      <w:lvlText w:val="%1."/>
      <w:lvlJc w:val="left"/>
      <w:pPr>
        <w:ind w:left="425" w:hanging="425"/>
      </w:pPr>
      <w:rPr>
        <w:rFonts w:hint="default" w:ascii="仿宋" w:hAnsi="仿宋" w:eastAsia="仿宋" w:cs="仿宋"/>
        <w:sz w:val="28"/>
        <w:szCs w:val="28"/>
      </w:rPr>
    </w:lvl>
  </w:abstractNum>
  <w:abstractNum w:abstractNumId="13">
    <w:nsid w:val="25DCB3E5"/>
    <w:multiLevelType w:val="singleLevel"/>
    <w:tmpl w:val="25DCB3E5"/>
    <w:lvl w:ilvl="0" w:tentative="0">
      <w:start w:val="1"/>
      <w:numFmt w:val="decimal"/>
      <w:suff w:val="nothing"/>
      <w:lvlText w:val="%1、"/>
      <w:lvlJc w:val="left"/>
      <w:rPr>
        <w:rFonts w:hint="default" w:ascii="仿宋" w:hAnsi="仿宋" w:eastAsia="仿宋" w:cs="仿宋"/>
        <w:sz w:val="28"/>
        <w:szCs w:val="28"/>
      </w:rPr>
    </w:lvl>
  </w:abstractNum>
  <w:abstractNum w:abstractNumId="14">
    <w:nsid w:val="70FFD60B"/>
    <w:multiLevelType w:val="singleLevel"/>
    <w:tmpl w:val="70FFD60B"/>
    <w:lvl w:ilvl="0" w:tentative="0">
      <w:start w:val="1"/>
      <w:numFmt w:val="chineseCounting"/>
      <w:suff w:val="space"/>
      <w:lvlText w:val="第%1部分"/>
      <w:lvlJc w:val="left"/>
      <w:rPr>
        <w:rFonts w:hint="eastAsia" w:ascii="仿宋" w:hAnsi="仿宋" w:eastAsia="仿宋" w:cs="仿宋"/>
        <w:sz w:val="28"/>
        <w:szCs w:val="28"/>
      </w:rPr>
    </w:lvl>
  </w:abstractNum>
  <w:abstractNum w:abstractNumId="15">
    <w:nsid w:val="76C5CBC5"/>
    <w:multiLevelType w:val="singleLevel"/>
    <w:tmpl w:val="76C5CBC5"/>
    <w:lvl w:ilvl="0" w:tentative="0">
      <w:start w:val="1"/>
      <w:numFmt w:val="decimal"/>
      <w:suff w:val="nothing"/>
      <w:lvlText w:val="%1、"/>
      <w:lvlJc w:val="left"/>
      <w:rPr>
        <w:rFonts w:hint="default" w:ascii="仿宋" w:hAnsi="仿宋" w:eastAsia="仿宋" w:cs="仿宋"/>
        <w:sz w:val="28"/>
        <w:szCs w:val="28"/>
      </w:rPr>
    </w:lvl>
  </w:abstractNum>
  <w:abstractNum w:abstractNumId="16">
    <w:nsid w:val="7EA5D60C"/>
    <w:multiLevelType w:val="singleLevel"/>
    <w:tmpl w:val="7EA5D60C"/>
    <w:lvl w:ilvl="0" w:tentative="0">
      <w:start w:val="1"/>
      <w:numFmt w:val="decimal"/>
      <w:suff w:val="nothing"/>
      <w:lvlText w:val="（%1）"/>
      <w:lvlJc w:val="left"/>
      <w:rPr>
        <w:rFonts w:hint="default" w:ascii="仿宋" w:hAnsi="仿宋" w:eastAsia="仿宋" w:cs="仿宋"/>
        <w:sz w:val="28"/>
        <w:szCs w:val="28"/>
      </w:rPr>
    </w:lvl>
  </w:abstractNum>
  <w:num w:numId="1">
    <w:abstractNumId w:val="6"/>
  </w:num>
  <w:num w:numId="2">
    <w:abstractNumId w:val="2"/>
  </w:num>
  <w:num w:numId="3">
    <w:abstractNumId w:val="8"/>
  </w:num>
  <w:num w:numId="4">
    <w:abstractNumId w:val="1"/>
  </w:num>
  <w:num w:numId="5">
    <w:abstractNumId w:val="0"/>
  </w:num>
  <w:num w:numId="6">
    <w:abstractNumId w:val="4"/>
  </w:num>
  <w:num w:numId="7">
    <w:abstractNumId w:val="7"/>
  </w:num>
  <w:num w:numId="8">
    <w:abstractNumId w:val="14"/>
  </w:num>
  <w:num w:numId="9">
    <w:abstractNumId w:val="16"/>
  </w:num>
  <w:num w:numId="10">
    <w:abstractNumId w:val="9"/>
  </w:num>
  <w:num w:numId="11">
    <w:abstractNumId w:val="10"/>
  </w:num>
  <w:num w:numId="12">
    <w:abstractNumId w:val="3"/>
  </w:num>
  <w:num w:numId="13">
    <w:abstractNumId w:val="5"/>
  </w:num>
  <w:num w:numId="14">
    <w:abstractNumId w:val="13"/>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2ZDk5MTRhMmIxZmIzNmU1YjZhNGM4MWI3Njk3ZmQifQ=="/>
    <w:docVar w:name="KSO_WPS_MARK_KEY" w:val="33977b9b-927d-4bbd-b97f-fab35b885eca"/>
  </w:docVars>
  <w:rsids>
    <w:rsidRoot w:val="00C3633B"/>
    <w:rsid w:val="000027EA"/>
    <w:rsid w:val="000142AD"/>
    <w:rsid w:val="00016033"/>
    <w:rsid w:val="0002239A"/>
    <w:rsid w:val="000319C8"/>
    <w:rsid w:val="00036B02"/>
    <w:rsid w:val="00037393"/>
    <w:rsid w:val="00040A68"/>
    <w:rsid w:val="00041877"/>
    <w:rsid w:val="0004711C"/>
    <w:rsid w:val="00055A22"/>
    <w:rsid w:val="00060EFD"/>
    <w:rsid w:val="00062BB6"/>
    <w:rsid w:val="00066C98"/>
    <w:rsid w:val="00072F66"/>
    <w:rsid w:val="00073720"/>
    <w:rsid w:val="00084169"/>
    <w:rsid w:val="0008529B"/>
    <w:rsid w:val="00091541"/>
    <w:rsid w:val="000A3CBD"/>
    <w:rsid w:val="000B26F5"/>
    <w:rsid w:val="000D4626"/>
    <w:rsid w:val="000D6CA5"/>
    <w:rsid w:val="000E7906"/>
    <w:rsid w:val="000F4641"/>
    <w:rsid w:val="000F5BE8"/>
    <w:rsid w:val="000F7871"/>
    <w:rsid w:val="00103B48"/>
    <w:rsid w:val="00105FD1"/>
    <w:rsid w:val="0011036A"/>
    <w:rsid w:val="001218E4"/>
    <w:rsid w:val="00135BBB"/>
    <w:rsid w:val="00137AA9"/>
    <w:rsid w:val="00152F96"/>
    <w:rsid w:val="001562F5"/>
    <w:rsid w:val="001665AF"/>
    <w:rsid w:val="00166C3A"/>
    <w:rsid w:val="001678C1"/>
    <w:rsid w:val="00173A16"/>
    <w:rsid w:val="00176ED8"/>
    <w:rsid w:val="0017738C"/>
    <w:rsid w:val="00177549"/>
    <w:rsid w:val="00180117"/>
    <w:rsid w:val="00181E1D"/>
    <w:rsid w:val="00196D08"/>
    <w:rsid w:val="00197C01"/>
    <w:rsid w:val="001C20A3"/>
    <w:rsid w:val="001C27BF"/>
    <w:rsid w:val="001E43D1"/>
    <w:rsid w:val="001E655D"/>
    <w:rsid w:val="001F29A2"/>
    <w:rsid w:val="002262C8"/>
    <w:rsid w:val="00231838"/>
    <w:rsid w:val="002320C8"/>
    <w:rsid w:val="002346DD"/>
    <w:rsid w:val="002354BC"/>
    <w:rsid w:val="00250F76"/>
    <w:rsid w:val="0026009E"/>
    <w:rsid w:val="00263593"/>
    <w:rsid w:val="00266B92"/>
    <w:rsid w:val="0026731A"/>
    <w:rsid w:val="002778E9"/>
    <w:rsid w:val="002902BC"/>
    <w:rsid w:val="00290DF1"/>
    <w:rsid w:val="00293650"/>
    <w:rsid w:val="002B0376"/>
    <w:rsid w:val="002C1122"/>
    <w:rsid w:val="002D0C49"/>
    <w:rsid w:val="002E0F5A"/>
    <w:rsid w:val="00300E45"/>
    <w:rsid w:val="00306060"/>
    <w:rsid w:val="00310A36"/>
    <w:rsid w:val="003134DA"/>
    <w:rsid w:val="00314F1B"/>
    <w:rsid w:val="00333BBF"/>
    <w:rsid w:val="00333E76"/>
    <w:rsid w:val="00335996"/>
    <w:rsid w:val="00337586"/>
    <w:rsid w:val="003603EB"/>
    <w:rsid w:val="00363F90"/>
    <w:rsid w:val="00366F57"/>
    <w:rsid w:val="00371A35"/>
    <w:rsid w:val="003765B9"/>
    <w:rsid w:val="00377114"/>
    <w:rsid w:val="00380AE2"/>
    <w:rsid w:val="0038109A"/>
    <w:rsid w:val="00381254"/>
    <w:rsid w:val="003917C9"/>
    <w:rsid w:val="00391A3F"/>
    <w:rsid w:val="003A2C38"/>
    <w:rsid w:val="003A73EA"/>
    <w:rsid w:val="003B2C1B"/>
    <w:rsid w:val="003B6E6D"/>
    <w:rsid w:val="003D1F74"/>
    <w:rsid w:val="003D5380"/>
    <w:rsid w:val="003E25BD"/>
    <w:rsid w:val="003E5A82"/>
    <w:rsid w:val="003E6A18"/>
    <w:rsid w:val="003E6D53"/>
    <w:rsid w:val="003F70C7"/>
    <w:rsid w:val="004044FF"/>
    <w:rsid w:val="00410D27"/>
    <w:rsid w:val="004156F6"/>
    <w:rsid w:val="00425603"/>
    <w:rsid w:val="0045494F"/>
    <w:rsid w:val="00455A92"/>
    <w:rsid w:val="004561A0"/>
    <w:rsid w:val="00457692"/>
    <w:rsid w:val="00462CB1"/>
    <w:rsid w:val="00463A93"/>
    <w:rsid w:val="00464BB5"/>
    <w:rsid w:val="00470DF7"/>
    <w:rsid w:val="00472A54"/>
    <w:rsid w:val="00481707"/>
    <w:rsid w:val="00486DA0"/>
    <w:rsid w:val="00490C6E"/>
    <w:rsid w:val="00494FFB"/>
    <w:rsid w:val="00496F8D"/>
    <w:rsid w:val="004A50AF"/>
    <w:rsid w:val="004A731E"/>
    <w:rsid w:val="004B15D3"/>
    <w:rsid w:val="004B5015"/>
    <w:rsid w:val="004C4E9B"/>
    <w:rsid w:val="004D1B3B"/>
    <w:rsid w:val="004D7438"/>
    <w:rsid w:val="004D7E0A"/>
    <w:rsid w:val="004F19A1"/>
    <w:rsid w:val="004F22E4"/>
    <w:rsid w:val="0050054D"/>
    <w:rsid w:val="005079C1"/>
    <w:rsid w:val="00510917"/>
    <w:rsid w:val="00510EA9"/>
    <w:rsid w:val="00532F68"/>
    <w:rsid w:val="00533D91"/>
    <w:rsid w:val="00537659"/>
    <w:rsid w:val="005427AE"/>
    <w:rsid w:val="00543001"/>
    <w:rsid w:val="005432C1"/>
    <w:rsid w:val="00550070"/>
    <w:rsid w:val="005713A3"/>
    <w:rsid w:val="005874E1"/>
    <w:rsid w:val="00587B1E"/>
    <w:rsid w:val="005B69C1"/>
    <w:rsid w:val="005C1F9C"/>
    <w:rsid w:val="005C1FD5"/>
    <w:rsid w:val="005E0F05"/>
    <w:rsid w:val="005E1F10"/>
    <w:rsid w:val="005E7A86"/>
    <w:rsid w:val="005F0C65"/>
    <w:rsid w:val="005F48F2"/>
    <w:rsid w:val="0061090F"/>
    <w:rsid w:val="00614273"/>
    <w:rsid w:val="00615F84"/>
    <w:rsid w:val="00621FF5"/>
    <w:rsid w:val="0062303C"/>
    <w:rsid w:val="0062612D"/>
    <w:rsid w:val="006261DA"/>
    <w:rsid w:val="00640F4D"/>
    <w:rsid w:val="00650232"/>
    <w:rsid w:val="00654BE2"/>
    <w:rsid w:val="006571C4"/>
    <w:rsid w:val="00661998"/>
    <w:rsid w:val="006706D5"/>
    <w:rsid w:val="006732BB"/>
    <w:rsid w:val="00677C37"/>
    <w:rsid w:val="00680660"/>
    <w:rsid w:val="00680D5B"/>
    <w:rsid w:val="00683710"/>
    <w:rsid w:val="00687AE8"/>
    <w:rsid w:val="00687F2E"/>
    <w:rsid w:val="006A7044"/>
    <w:rsid w:val="006B1013"/>
    <w:rsid w:val="006C1A44"/>
    <w:rsid w:val="006C392D"/>
    <w:rsid w:val="006D2F0D"/>
    <w:rsid w:val="006D3490"/>
    <w:rsid w:val="006D56FC"/>
    <w:rsid w:val="006E1CDC"/>
    <w:rsid w:val="006E61CD"/>
    <w:rsid w:val="006E6D23"/>
    <w:rsid w:val="006F5BEB"/>
    <w:rsid w:val="006F7866"/>
    <w:rsid w:val="00704AFA"/>
    <w:rsid w:val="007070ED"/>
    <w:rsid w:val="00714805"/>
    <w:rsid w:val="00716A79"/>
    <w:rsid w:val="007318F2"/>
    <w:rsid w:val="00737F8A"/>
    <w:rsid w:val="00762DF6"/>
    <w:rsid w:val="00763F5E"/>
    <w:rsid w:val="00766D0B"/>
    <w:rsid w:val="007709A4"/>
    <w:rsid w:val="0077449D"/>
    <w:rsid w:val="0079210E"/>
    <w:rsid w:val="0079738A"/>
    <w:rsid w:val="007A02B6"/>
    <w:rsid w:val="007A0683"/>
    <w:rsid w:val="007A42CC"/>
    <w:rsid w:val="007C48DB"/>
    <w:rsid w:val="007D0912"/>
    <w:rsid w:val="007D1BC6"/>
    <w:rsid w:val="007D3662"/>
    <w:rsid w:val="007E0484"/>
    <w:rsid w:val="007E3306"/>
    <w:rsid w:val="007E695B"/>
    <w:rsid w:val="007F2145"/>
    <w:rsid w:val="008008C8"/>
    <w:rsid w:val="0080227E"/>
    <w:rsid w:val="00803498"/>
    <w:rsid w:val="008117B5"/>
    <w:rsid w:val="00813FA2"/>
    <w:rsid w:val="00825B51"/>
    <w:rsid w:val="008263F2"/>
    <w:rsid w:val="00850F51"/>
    <w:rsid w:val="00852C88"/>
    <w:rsid w:val="00863A26"/>
    <w:rsid w:val="00863B59"/>
    <w:rsid w:val="00873656"/>
    <w:rsid w:val="00875060"/>
    <w:rsid w:val="00876C9B"/>
    <w:rsid w:val="0088033B"/>
    <w:rsid w:val="00887EE2"/>
    <w:rsid w:val="00890439"/>
    <w:rsid w:val="00895D49"/>
    <w:rsid w:val="00897612"/>
    <w:rsid w:val="008A3BB1"/>
    <w:rsid w:val="008A66B7"/>
    <w:rsid w:val="008B0655"/>
    <w:rsid w:val="008B589D"/>
    <w:rsid w:val="008C0B4F"/>
    <w:rsid w:val="008C35BA"/>
    <w:rsid w:val="008C6481"/>
    <w:rsid w:val="008D27DE"/>
    <w:rsid w:val="008D48D5"/>
    <w:rsid w:val="008D6F20"/>
    <w:rsid w:val="008E61B7"/>
    <w:rsid w:val="008E7FFA"/>
    <w:rsid w:val="00910783"/>
    <w:rsid w:val="00913DD9"/>
    <w:rsid w:val="00922E56"/>
    <w:rsid w:val="009316EC"/>
    <w:rsid w:val="00935463"/>
    <w:rsid w:val="00935F1D"/>
    <w:rsid w:val="00936C8A"/>
    <w:rsid w:val="00941837"/>
    <w:rsid w:val="00956DD9"/>
    <w:rsid w:val="00956EA6"/>
    <w:rsid w:val="00977ABC"/>
    <w:rsid w:val="009801D8"/>
    <w:rsid w:val="009804B9"/>
    <w:rsid w:val="009827D9"/>
    <w:rsid w:val="0098601D"/>
    <w:rsid w:val="009922F5"/>
    <w:rsid w:val="009A0814"/>
    <w:rsid w:val="009A0CA2"/>
    <w:rsid w:val="009C5BAC"/>
    <w:rsid w:val="009C7929"/>
    <w:rsid w:val="009E2442"/>
    <w:rsid w:val="009E3BFC"/>
    <w:rsid w:val="009F52DA"/>
    <w:rsid w:val="00A069F1"/>
    <w:rsid w:val="00A1059A"/>
    <w:rsid w:val="00A111A0"/>
    <w:rsid w:val="00A22B9B"/>
    <w:rsid w:val="00A25EED"/>
    <w:rsid w:val="00A324E0"/>
    <w:rsid w:val="00A33687"/>
    <w:rsid w:val="00A35203"/>
    <w:rsid w:val="00A4643C"/>
    <w:rsid w:val="00A47D47"/>
    <w:rsid w:val="00A54E1F"/>
    <w:rsid w:val="00A57F0C"/>
    <w:rsid w:val="00A60082"/>
    <w:rsid w:val="00A6695C"/>
    <w:rsid w:val="00A67300"/>
    <w:rsid w:val="00A7597B"/>
    <w:rsid w:val="00A765D3"/>
    <w:rsid w:val="00A80621"/>
    <w:rsid w:val="00A80F25"/>
    <w:rsid w:val="00A87EBE"/>
    <w:rsid w:val="00AB1A0E"/>
    <w:rsid w:val="00AB2DEF"/>
    <w:rsid w:val="00AB67B2"/>
    <w:rsid w:val="00AC1980"/>
    <w:rsid w:val="00AC6B8F"/>
    <w:rsid w:val="00AD3687"/>
    <w:rsid w:val="00AD67AF"/>
    <w:rsid w:val="00AE00F9"/>
    <w:rsid w:val="00AE1C1E"/>
    <w:rsid w:val="00AE3C20"/>
    <w:rsid w:val="00AE4746"/>
    <w:rsid w:val="00B002E9"/>
    <w:rsid w:val="00B11C34"/>
    <w:rsid w:val="00B11D6B"/>
    <w:rsid w:val="00B14726"/>
    <w:rsid w:val="00B3497B"/>
    <w:rsid w:val="00B36A2A"/>
    <w:rsid w:val="00B56CE7"/>
    <w:rsid w:val="00B637B8"/>
    <w:rsid w:val="00B7070F"/>
    <w:rsid w:val="00B86528"/>
    <w:rsid w:val="00BA03B5"/>
    <w:rsid w:val="00BA0D21"/>
    <w:rsid w:val="00BA10B4"/>
    <w:rsid w:val="00BA1689"/>
    <w:rsid w:val="00BA6AC1"/>
    <w:rsid w:val="00BB25FC"/>
    <w:rsid w:val="00BB513C"/>
    <w:rsid w:val="00BD10A6"/>
    <w:rsid w:val="00BD1D06"/>
    <w:rsid w:val="00BD391A"/>
    <w:rsid w:val="00BD55E3"/>
    <w:rsid w:val="00BD60B6"/>
    <w:rsid w:val="00BE3796"/>
    <w:rsid w:val="00BE3B4C"/>
    <w:rsid w:val="00BE6EF3"/>
    <w:rsid w:val="00BF0A27"/>
    <w:rsid w:val="00BF6ED8"/>
    <w:rsid w:val="00C01B5B"/>
    <w:rsid w:val="00C02585"/>
    <w:rsid w:val="00C0417D"/>
    <w:rsid w:val="00C06CAA"/>
    <w:rsid w:val="00C20B6C"/>
    <w:rsid w:val="00C20E3F"/>
    <w:rsid w:val="00C26ADC"/>
    <w:rsid w:val="00C26BEC"/>
    <w:rsid w:val="00C31E18"/>
    <w:rsid w:val="00C35030"/>
    <w:rsid w:val="00C357FC"/>
    <w:rsid w:val="00C3633B"/>
    <w:rsid w:val="00C421B7"/>
    <w:rsid w:val="00C42A37"/>
    <w:rsid w:val="00C466EF"/>
    <w:rsid w:val="00C522CF"/>
    <w:rsid w:val="00C52D31"/>
    <w:rsid w:val="00C5365A"/>
    <w:rsid w:val="00C56442"/>
    <w:rsid w:val="00C604CC"/>
    <w:rsid w:val="00C6071F"/>
    <w:rsid w:val="00C65F70"/>
    <w:rsid w:val="00C66749"/>
    <w:rsid w:val="00C76632"/>
    <w:rsid w:val="00C80ECB"/>
    <w:rsid w:val="00CA3905"/>
    <w:rsid w:val="00CD4978"/>
    <w:rsid w:val="00CD79DA"/>
    <w:rsid w:val="00CF0384"/>
    <w:rsid w:val="00D0511B"/>
    <w:rsid w:val="00D154DF"/>
    <w:rsid w:val="00D201C2"/>
    <w:rsid w:val="00D21473"/>
    <w:rsid w:val="00D26D0C"/>
    <w:rsid w:val="00D37691"/>
    <w:rsid w:val="00D40EE4"/>
    <w:rsid w:val="00D415AC"/>
    <w:rsid w:val="00D50071"/>
    <w:rsid w:val="00D50684"/>
    <w:rsid w:val="00D547AC"/>
    <w:rsid w:val="00D554B4"/>
    <w:rsid w:val="00D72D12"/>
    <w:rsid w:val="00D87F06"/>
    <w:rsid w:val="00DA0AB6"/>
    <w:rsid w:val="00DA21AC"/>
    <w:rsid w:val="00DA270D"/>
    <w:rsid w:val="00DB0A40"/>
    <w:rsid w:val="00DB37AD"/>
    <w:rsid w:val="00DC186D"/>
    <w:rsid w:val="00DC3384"/>
    <w:rsid w:val="00DC6313"/>
    <w:rsid w:val="00DD1402"/>
    <w:rsid w:val="00DD3215"/>
    <w:rsid w:val="00DE2D4C"/>
    <w:rsid w:val="00DE72FC"/>
    <w:rsid w:val="00DF43A3"/>
    <w:rsid w:val="00DF4C01"/>
    <w:rsid w:val="00E008D0"/>
    <w:rsid w:val="00E0351F"/>
    <w:rsid w:val="00E10A45"/>
    <w:rsid w:val="00E212F4"/>
    <w:rsid w:val="00E34A39"/>
    <w:rsid w:val="00E3652A"/>
    <w:rsid w:val="00E36974"/>
    <w:rsid w:val="00E37717"/>
    <w:rsid w:val="00E5355C"/>
    <w:rsid w:val="00E57FB7"/>
    <w:rsid w:val="00E609FE"/>
    <w:rsid w:val="00E61817"/>
    <w:rsid w:val="00E67DD2"/>
    <w:rsid w:val="00E931DF"/>
    <w:rsid w:val="00E9583E"/>
    <w:rsid w:val="00EA6271"/>
    <w:rsid w:val="00EA6AF9"/>
    <w:rsid w:val="00EB0351"/>
    <w:rsid w:val="00EB36AB"/>
    <w:rsid w:val="00EB37C2"/>
    <w:rsid w:val="00EC4DF2"/>
    <w:rsid w:val="00ED0F6B"/>
    <w:rsid w:val="00ED29F6"/>
    <w:rsid w:val="00ED3852"/>
    <w:rsid w:val="00ED7FA6"/>
    <w:rsid w:val="00EF1A1E"/>
    <w:rsid w:val="00EF32A8"/>
    <w:rsid w:val="00F00A48"/>
    <w:rsid w:val="00F026C1"/>
    <w:rsid w:val="00F24FB6"/>
    <w:rsid w:val="00F301E9"/>
    <w:rsid w:val="00F3595D"/>
    <w:rsid w:val="00F461AD"/>
    <w:rsid w:val="00F50D64"/>
    <w:rsid w:val="00F52940"/>
    <w:rsid w:val="00F5543F"/>
    <w:rsid w:val="00F60D23"/>
    <w:rsid w:val="00F74811"/>
    <w:rsid w:val="00F7483A"/>
    <w:rsid w:val="00F74897"/>
    <w:rsid w:val="00F77C0B"/>
    <w:rsid w:val="00F8027C"/>
    <w:rsid w:val="00F873BC"/>
    <w:rsid w:val="00F95FAC"/>
    <w:rsid w:val="00FA069F"/>
    <w:rsid w:val="00FA0ACA"/>
    <w:rsid w:val="00FA1399"/>
    <w:rsid w:val="00FA52FA"/>
    <w:rsid w:val="00FA6448"/>
    <w:rsid w:val="00FA6BA5"/>
    <w:rsid w:val="00FB1A32"/>
    <w:rsid w:val="00FB6E6A"/>
    <w:rsid w:val="00FC172E"/>
    <w:rsid w:val="00FC1830"/>
    <w:rsid w:val="00FE2131"/>
    <w:rsid w:val="00FF0AD8"/>
    <w:rsid w:val="00FF0E76"/>
    <w:rsid w:val="00FF1BFF"/>
    <w:rsid w:val="00FF3422"/>
    <w:rsid w:val="01543C57"/>
    <w:rsid w:val="01723229"/>
    <w:rsid w:val="01A52705"/>
    <w:rsid w:val="01F67790"/>
    <w:rsid w:val="02104022"/>
    <w:rsid w:val="022573A2"/>
    <w:rsid w:val="02B32278"/>
    <w:rsid w:val="02C31095"/>
    <w:rsid w:val="02D50DC8"/>
    <w:rsid w:val="03045021"/>
    <w:rsid w:val="0328539C"/>
    <w:rsid w:val="03395441"/>
    <w:rsid w:val="036322EA"/>
    <w:rsid w:val="038F06B6"/>
    <w:rsid w:val="03B87801"/>
    <w:rsid w:val="03E75194"/>
    <w:rsid w:val="04001E75"/>
    <w:rsid w:val="040F20B8"/>
    <w:rsid w:val="044E4782"/>
    <w:rsid w:val="046B3792"/>
    <w:rsid w:val="04FE4606"/>
    <w:rsid w:val="050730AD"/>
    <w:rsid w:val="05133884"/>
    <w:rsid w:val="05171224"/>
    <w:rsid w:val="05341DD6"/>
    <w:rsid w:val="053973EC"/>
    <w:rsid w:val="058638BE"/>
    <w:rsid w:val="05AD1B88"/>
    <w:rsid w:val="05D13CC4"/>
    <w:rsid w:val="05D46E59"/>
    <w:rsid w:val="05D67331"/>
    <w:rsid w:val="05F257ED"/>
    <w:rsid w:val="05F314D1"/>
    <w:rsid w:val="06586D56"/>
    <w:rsid w:val="06750027"/>
    <w:rsid w:val="06AE7966"/>
    <w:rsid w:val="06B07B82"/>
    <w:rsid w:val="06E469F0"/>
    <w:rsid w:val="06EE0437"/>
    <w:rsid w:val="06F55595"/>
    <w:rsid w:val="06F76B9A"/>
    <w:rsid w:val="07014A23"/>
    <w:rsid w:val="072B7F76"/>
    <w:rsid w:val="074D717F"/>
    <w:rsid w:val="075A189C"/>
    <w:rsid w:val="075B2392"/>
    <w:rsid w:val="076241B0"/>
    <w:rsid w:val="0779672F"/>
    <w:rsid w:val="078403CE"/>
    <w:rsid w:val="07D93108"/>
    <w:rsid w:val="07FB307F"/>
    <w:rsid w:val="081303C8"/>
    <w:rsid w:val="082A74C0"/>
    <w:rsid w:val="084F33CB"/>
    <w:rsid w:val="08534C3A"/>
    <w:rsid w:val="088272FC"/>
    <w:rsid w:val="08857DC1"/>
    <w:rsid w:val="088E5CA1"/>
    <w:rsid w:val="08A72BFD"/>
    <w:rsid w:val="08F875BE"/>
    <w:rsid w:val="092223CD"/>
    <w:rsid w:val="09931095"/>
    <w:rsid w:val="099512B1"/>
    <w:rsid w:val="09D41DD9"/>
    <w:rsid w:val="09F24D59"/>
    <w:rsid w:val="0A00382D"/>
    <w:rsid w:val="0A116C3C"/>
    <w:rsid w:val="0A1348C9"/>
    <w:rsid w:val="0A287A2F"/>
    <w:rsid w:val="0A304CFB"/>
    <w:rsid w:val="0A3057D5"/>
    <w:rsid w:val="0A803E88"/>
    <w:rsid w:val="0ABD0ABF"/>
    <w:rsid w:val="0AC05E0D"/>
    <w:rsid w:val="0ADC4204"/>
    <w:rsid w:val="0B002E68"/>
    <w:rsid w:val="0B514630"/>
    <w:rsid w:val="0B6A4BB6"/>
    <w:rsid w:val="0B6B22C9"/>
    <w:rsid w:val="0B7E4664"/>
    <w:rsid w:val="0B8732CD"/>
    <w:rsid w:val="0BAA0535"/>
    <w:rsid w:val="0BF83BC6"/>
    <w:rsid w:val="0BF91683"/>
    <w:rsid w:val="0BFE4EEC"/>
    <w:rsid w:val="0BFF2A12"/>
    <w:rsid w:val="0C680516"/>
    <w:rsid w:val="0C741C5C"/>
    <w:rsid w:val="0CDA6057"/>
    <w:rsid w:val="0CE66FB5"/>
    <w:rsid w:val="0D244E26"/>
    <w:rsid w:val="0D470B14"/>
    <w:rsid w:val="0D636733"/>
    <w:rsid w:val="0D802865"/>
    <w:rsid w:val="0DB93368"/>
    <w:rsid w:val="0DC61A39"/>
    <w:rsid w:val="0DCF5A8C"/>
    <w:rsid w:val="0DDF6F9F"/>
    <w:rsid w:val="0DF77E44"/>
    <w:rsid w:val="0E2B3F92"/>
    <w:rsid w:val="0E5605A8"/>
    <w:rsid w:val="0EB14CF1"/>
    <w:rsid w:val="0EFB1BB6"/>
    <w:rsid w:val="0F205179"/>
    <w:rsid w:val="0F2E2EAF"/>
    <w:rsid w:val="0F41088B"/>
    <w:rsid w:val="0F421C6D"/>
    <w:rsid w:val="0F9001C0"/>
    <w:rsid w:val="0F9C57E5"/>
    <w:rsid w:val="0FC9249C"/>
    <w:rsid w:val="10076782"/>
    <w:rsid w:val="101051ED"/>
    <w:rsid w:val="101822F4"/>
    <w:rsid w:val="10470292"/>
    <w:rsid w:val="106F0166"/>
    <w:rsid w:val="10805706"/>
    <w:rsid w:val="10DA4756"/>
    <w:rsid w:val="1102722C"/>
    <w:rsid w:val="111900F3"/>
    <w:rsid w:val="112232A0"/>
    <w:rsid w:val="11252F1A"/>
    <w:rsid w:val="113531B7"/>
    <w:rsid w:val="11380EA0"/>
    <w:rsid w:val="115A7068"/>
    <w:rsid w:val="115B6980"/>
    <w:rsid w:val="115F7721"/>
    <w:rsid w:val="11867E5D"/>
    <w:rsid w:val="118A7471"/>
    <w:rsid w:val="11C4143F"/>
    <w:rsid w:val="11E903EC"/>
    <w:rsid w:val="11FA160D"/>
    <w:rsid w:val="11FC3DAB"/>
    <w:rsid w:val="11FE178C"/>
    <w:rsid w:val="120E39AF"/>
    <w:rsid w:val="122942B9"/>
    <w:rsid w:val="12A93A7E"/>
    <w:rsid w:val="12B97DBE"/>
    <w:rsid w:val="12C0517B"/>
    <w:rsid w:val="131B578D"/>
    <w:rsid w:val="13246E38"/>
    <w:rsid w:val="13437B99"/>
    <w:rsid w:val="13BA76E9"/>
    <w:rsid w:val="13CA16CE"/>
    <w:rsid w:val="13CC58CF"/>
    <w:rsid w:val="13DA7FEC"/>
    <w:rsid w:val="13F830F7"/>
    <w:rsid w:val="140E7C96"/>
    <w:rsid w:val="141554C8"/>
    <w:rsid w:val="141D2063"/>
    <w:rsid w:val="14302302"/>
    <w:rsid w:val="143F2545"/>
    <w:rsid w:val="144C07BE"/>
    <w:rsid w:val="14535FF1"/>
    <w:rsid w:val="14541544"/>
    <w:rsid w:val="145A6BDE"/>
    <w:rsid w:val="146C3206"/>
    <w:rsid w:val="146E4BD8"/>
    <w:rsid w:val="149E7662"/>
    <w:rsid w:val="14A5684C"/>
    <w:rsid w:val="14BF71E2"/>
    <w:rsid w:val="14D00800"/>
    <w:rsid w:val="158676AC"/>
    <w:rsid w:val="15AD4B24"/>
    <w:rsid w:val="15AF7257"/>
    <w:rsid w:val="15BA6327"/>
    <w:rsid w:val="15E52C78"/>
    <w:rsid w:val="16201F02"/>
    <w:rsid w:val="163B172F"/>
    <w:rsid w:val="16614691"/>
    <w:rsid w:val="167308AC"/>
    <w:rsid w:val="16774701"/>
    <w:rsid w:val="168B3B70"/>
    <w:rsid w:val="168D7D1D"/>
    <w:rsid w:val="16BD154C"/>
    <w:rsid w:val="16D01B7A"/>
    <w:rsid w:val="16DA02E0"/>
    <w:rsid w:val="171352DB"/>
    <w:rsid w:val="173619DD"/>
    <w:rsid w:val="174A097E"/>
    <w:rsid w:val="176C27EA"/>
    <w:rsid w:val="1785682D"/>
    <w:rsid w:val="17B943BD"/>
    <w:rsid w:val="17C10263"/>
    <w:rsid w:val="17D905BB"/>
    <w:rsid w:val="18153CE9"/>
    <w:rsid w:val="182067E3"/>
    <w:rsid w:val="182C1032"/>
    <w:rsid w:val="183A7A89"/>
    <w:rsid w:val="18634390"/>
    <w:rsid w:val="18644328"/>
    <w:rsid w:val="186453D5"/>
    <w:rsid w:val="18BF1EA7"/>
    <w:rsid w:val="18DE232D"/>
    <w:rsid w:val="192817FA"/>
    <w:rsid w:val="192D6E10"/>
    <w:rsid w:val="194D1260"/>
    <w:rsid w:val="195645B9"/>
    <w:rsid w:val="19617043"/>
    <w:rsid w:val="19AA0461"/>
    <w:rsid w:val="19D11E91"/>
    <w:rsid w:val="19EB7814"/>
    <w:rsid w:val="19F142E2"/>
    <w:rsid w:val="19F556D8"/>
    <w:rsid w:val="1A34097B"/>
    <w:rsid w:val="1A38013A"/>
    <w:rsid w:val="1A442663"/>
    <w:rsid w:val="1AA2382E"/>
    <w:rsid w:val="1ABB736F"/>
    <w:rsid w:val="1B7E7DF7"/>
    <w:rsid w:val="1B8F3DB2"/>
    <w:rsid w:val="1BEC6B0F"/>
    <w:rsid w:val="1BF32325"/>
    <w:rsid w:val="1C112A19"/>
    <w:rsid w:val="1C533032"/>
    <w:rsid w:val="1CA30D8E"/>
    <w:rsid w:val="1CBD04AB"/>
    <w:rsid w:val="1CBF1617"/>
    <w:rsid w:val="1CEC2B3E"/>
    <w:rsid w:val="1CED5FCE"/>
    <w:rsid w:val="1DD43CFE"/>
    <w:rsid w:val="1DF12D64"/>
    <w:rsid w:val="1E146D3B"/>
    <w:rsid w:val="1E237E7E"/>
    <w:rsid w:val="1E340C41"/>
    <w:rsid w:val="1E746936"/>
    <w:rsid w:val="1E9E67FF"/>
    <w:rsid w:val="1EA36355"/>
    <w:rsid w:val="1EC97138"/>
    <w:rsid w:val="1EF53D72"/>
    <w:rsid w:val="1F120F82"/>
    <w:rsid w:val="1F1C595D"/>
    <w:rsid w:val="1F2472DD"/>
    <w:rsid w:val="1F2C36C6"/>
    <w:rsid w:val="1F35399F"/>
    <w:rsid w:val="1F7E6617"/>
    <w:rsid w:val="1F947BE9"/>
    <w:rsid w:val="1FB43DE7"/>
    <w:rsid w:val="202C6073"/>
    <w:rsid w:val="203E7571"/>
    <w:rsid w:val="205B24B5"/>
    <w:rsid w:val="20672C08"/>
    <w:rsid w:val="208442DB"/>
    <w:rsid w:val="20AF62AE"/>
    <w:rsid w:val="2107263D"/>
    <w:rsid w:val="210F0816"/>
    <w:rsid w:val="21224D81"/>
    <w:rsid w:val="218A5E00"/>
    <w:rsid w:val="219E0721"/>
    <w:rsid w:val="21A062C4"/>
    <w:rsid w:val="21B532E8"/>
    <w:rsid w:val="21CF315A"/>
    <w:rsid w:val="21F26E49"/>
    <w:rsid w:val="2217065D"/>
    <w:rsid w:val="22222E58"/>
    <w:rsid w:val="22244B28"/>
    <w:rsid w:val="2250591D"/>
    <w:rsid w:val="225273D0"/>
    <w:rsid w:val="22DA1DB7"/>
    <w:rsid w:val="231A6657"/>
    <w:rsid w:val="231B5F2B"/>
    <w:rsid w:val="232E2103"/>
    <w:rsid w:val="2345631D"/>
    <w:rsid w:val="23503E27"/>
    <w:rsid w:val="235116A5"/>
    <w:rsid w:val="23661AEC"/>
    <w:rsid w:val="23906919"/>
    <w:rsid w:val="23A777BF"/>
    <w:rsid w:val="23AE0B4E"/>
    <w:rsid w:val="23E4182C"/>
    <w:rsid w:val="241A61B8"/>
    <w:rsid w:val="24212C83"/>
    <w:rsid w:val="244403B4"/>
    <w:rsid w:val="24445A19"/>
    <w:rsid w:val="24457704"/>
    <w:rsid w:val="245C4A4D"/>
    <w:rsid w:val="246062EC"/>
    <w:rsid w:val="24635DDC"/>
    <w:rsid w:val="246B6A3F"/>
    <w:rsid w:val="24A563F4"/>
    <w:rsid w:val="24A7216D"/>
    <w:rsid w:val="24DA7569"/>
    <w:rsid w:val="24E400BF"/>
    <w:rsid w:val="24E52C95"/>
    <w:rsid w:val="24F90B21"/>
    <w:rsid w:val="2551214B"/>
    <w:rsid w:val="259A1F18"/>
    <w:rsid w:val="25A81599"/>
    <w:rsid w:val="25D54AB7"/>
    <w:rsid w:val="25DA3E7C"/>
    <w:rsid w:val="25DA49E2"/>
    <w:rsid w:val="260A4A60"/>
    <w:rsid w:val="262D66A1"/>
    <w:rsid w:val="26A30712"/>
    <w:rsid w:val="26AA7CF2"/>
    <w:rsid w:val="26C636CD"/>
    <w:rsid w:val="26D703BB"/>
    <w:rsid w:val="26DF605F"/>
    <w:rsid w:val="26E01966"/>
    <w:rsid w:val="27027B2E"/>
    <w:rsid w:val="2728014B"/>
    <w:rsid w:val="274C2B57"/>
    <w:rsid w:val="27601B1F"/>
    <w:rsid w:val="27660328"/>
    <w:rsid w:val="27BF7C90"/>
    <w:rsid w:val="27E85377"/>
    <w:rsid w:val="27F6425C"/>
    <w:rsid w:val="27FD46C4"/>
    <w:rsid w:val="2819686D"/>
    <w:rsid w:val="281F64BE"/>
    <w:rsid w:val="282910EA"/>
    <w:rsid w:val="282C4737"/>
    <w:rsid w:val="28341F69"/>
    <w:rsid w:val="28FF27F3"/>
    <w:rsid w:val="290E256A"/>
    <w:rsid w:val="296B4121"/>
    <w:rsid w:val="29954C89"/>
    <w:rsid w:val="29963BF5"/>
    <w:rsid w:val="2A0B0AA8"/>
    <w:rsid w:val="2A0B4D51"/>
    <w:rsid w:val="2A1B6F7E"/>
    <w:rsid w:val="2A4F482B"/>
    <w:rsid w:val="2A58434E"/>
    <w:rsid w:val="2AA35208"/>
    <w:rsid w:val="2ACB541A"/>
    <w:rsid w:val="2AF44E32"/>
    <w:rsid w:val="2AFD0A94"/>
    <w:rsid w:val="2B1159A3"/>
    <w:rsid w:val="2B12230A"/>
    <w:rsid w:val="2B5D5BB3"/>
    <w:rsid w:val="2B942D1F"/>
    <w:rsid w:val="2BE47891"/>
    <w:rsid w:val="2BF23854"/>
    <w:rsid w:val="2C2603E8"/>
    <w:rsid w:val="2C2A4965"/>
    <w:rsid w:val="2C3342E6"/>
    <w:rsid w:val="2C412893"/>
    <w:rsid w:val="2C9205E8"/>
    <w:rsid w:val="2CB558FA"/>
    <w:rsid w:val="2D6230D5"/>
    <w:rsid w:val="2D827734"/>
    <w:rsid w:val="2D8748E9"/>
    <w:rsid w:val="2D9B39F2"/>
    <w:rsid w:val="2DAA1A30"/>
    <w:rsid w:val="2DD13DB6"/>
    <w:rsid w:val="2DE33D57"/>
    <w:rsid w:val="2E0B7130"/>
    <w:rsid w:val="2E2C63C7"/>
    <w:rsid w:val="2EA63495"/>
    <w:rsid w:val="2EBA752B"/>
    <w:rsid w:val="2EC35DF5"/>
    <w:rsid w:val="2ECB20BA"/>
    <w:rsid w:val="2ED758E9"/>
    <w:rsid w:val="2F594063"/>
    <w:rsid w:val="2F7D65A9"/>
    <w:rsid w:val="2FC33BD3"/>
    <w:rsid w:val="2FF43D8C"/>
    <w:rsid w:val="30226B4B"/>
    <w:rsid w:val="303A0A43"/>
    <w:rsid w:val="30450A8C"/>
    <w:rsid w:val="30506AD9"/>
    <w:rsid w:val="305331A8"/>
    <w:rsid w:val="306E7FE2"/>
    <w:rsid w:val="307D0225"/>
    <w:rsid w:val="308C2216"/>
    <w:rsid w:val="30DD298D"/>
    <w:rsid w:val="31095983"/>
    <w:rsid w:val="318908BB"/>
    <w:rsid w:val="31896E91"/>
    <w:rsid w:val="31B144E0"/>
    <w:rsid w:val="31DB42F6"/>
    <w:rsid w:val="322E1E8E"/>
    <w:rsid w:val="324E00CB"/>
    <w:rsid w:val="324E333F"/>
    <w:rsid w:val="329704B3"/>
    <w:rsid w:val="329B0E37"/>
    <w:rsid w:val="32B31CDC"/>
    <w:rsid w:val="32DD31FD"/>
    <w:rsid w:val="32EE6E33"/>
    <w:rsid w:val="33057AA5"/>
    <w:rsid w:val="333F17C2"/>
    <w:rsid w:val="33424C23"/>
    <w:rsid w:val="33590AD6"/>
    <w:rsid w:val="336254B1"/>
    <w:rsid w:val="336B3CAA"/>
    <w:rsid w:val="33F31EDF"/>
    <w:rsid w:val="344B2247"/>
    <w:rsid w:val="34515D70"/>
    <w:rsid w:val="34AA5DC2"/>
    <w:rsid w:val="34C44675"/>
    <w:rsid w:val="3546508A"/>
    <w:rsid w:val="3550415A"/>
    <w:rsid w:val="35507787"/>
    <w:rsid w:val="355A2B82"/>
    <w:rsid w:val="359758E5"/>
    <w:rsid w:val="35B474AB"/>
    <w:rsid w:val="36053DB6"/>
    <w:rsid w:val="362E5CDC"/>
    <w:rsid w:val="36445382"/>
    <w:rsid w:val="367D0337"/>
    <w:rsid w:val="36835E6A"/>
    <w:rsid w:val="36981915"/>
    <w:rsid w:val="36D87F64"/>
    <w:rsid w:val="36EC7EB3"/>
    <w:rsid w:val="371D62BE"/>
    <w:rsid w:val="37413842"/>
    <w:rsid w:val="37643EED"/>
    <w:rsid w:val="37781747"/>
    <w:rsid w:val="3789228D"/>
    <w:rsid w:val="37BA58BB"/>
    <w:rsid w:val="37DE5A4E"/>
    <w:rsid w:val="38080D1C"/>
    <w:rsid w:val="38105B84"/>
    <w:rsid w:val="381F34BA"/>
    <w:rsid w:val="382A0C93"/>
    <w:rsid w:val="383D0570"/>
    <w:rsid w:val="384D672F"/>
    <w:rsid w:val="38514471"/>
    <w:rsid w:val="387A419F"/>
    <w:rsid w:val="38B642D4"/>
    <w:rsid w:val="38DB60E6"/>
    <w:rsid w:val="38E54BBA"/>
    <w:rsid w:val="392A6A70"/>
    <w:rsid w:val="393C6ED0"/>
    <w:rsid w:val="393E44F9"/>
    <w:rsid w:val="39565D62"/>
    <w:rsid w:val="39635696"/>
    <w:rsid w:val="397A77A4"/>
    <w:rsid w:val="398B5947"/>
    <w:rsid w:val="39CB3F06"/>
    <w:rsid w:val="39D30EB6"/>
    <w:rsid w:val="39F4652E"/>
    <w:rsid w:val="39F477B4"/>
    <w:rsid w:val="3AB71D57"/>
    <w:rsid w:val="3AC11AD3"/>
    <w:rsid w:val="3ADC3D9A"/>
    <w:rsid w:val="3AEA4709"/>
    <w:rsid w:val="3AF43922"/>
    <w:rsid w:val="3AFA2C30"/>
    <w:rsid w:val="3B0B653D"/>
    <w:rsid w:val="3B17580F"/>
    <w:rsid w:val="3B334185"/>
    <w:rsid w:val="3B4C2CCE"/>
    <w:rsid w:val="3B675D5A"/>
    <w:rsid w:val="3B8406BA"/>
    <w:rsid w:val="3BBA7C64"/>
    <w:rsid w:val="3BC1546A"/>
    <w:rsid w:val="3BDF7FE6"/>
    <w:rsid w:val="3BF67DB3"/>
    <w:rsid w:val="3C237ED3"/>
    <w:rsid w:val="3C4C0E08"/>
    <w:rsid w:val="3C4D4F50"/>
    <w:rsid w:val="3C683514"/>
    <w:rsid w:val="3C7526A2"/>
    <w:rsid w:val="3C7A386B"/>
    <w:rsid w:val="3CB274A9"/>
    <w:rsid w:val="3CC120F2"/>
    <w:rsid w:val="3CD613E9"/>
    <w:rsid w:val="3D0060A9"/>
    <w:rsid w:val="3D1D0C51"/>
    <w:rsid w:val="3D205A2C"/>
    <w:rsid w:val="3D8914B8"/>
    <w:rsid w:val="3D956479"/>
    <w:rsid w:val="3D9A2417"/>
    <w:rsid w:val="3DCC6348"/>
    <w:rsid w:val="3DCE6DA7"/>
    <w:rsid w:val="3DCF76E1"/>
    <w:rsid w:val="3E3A1504"/>
    <w:rsid w:val="3E407AAF"/>
    <w:rsid w:val="3E422FB2"/>
    <w:rsid w:val="3E50788D"/>
    <w:rsid w:val="3E5C591E"/>
    <w:rsid w:val="3E6D7B2B"/>
    <w:rsid w:val="3E9F78F7"/>
    <w:rsid w:val="3EA01CAF"/>
    <w:rsid w:val="3EAA6689"/>
    <w:rsid w:val="3EC2309F"/>
    <w:rsid w:val="3F400D9C"/>
    <w:rsid w:val="4000052B"/>
    <w:rsid w:val="4004626D"/>
    <w:rsid w:val="401364B0"/>
    <w:rsid w:val="401C6A5F"/>
    <w:rsid w:val="402E32EA"/>
    <w:rsid w:val="40387CC5"/>
    <w:rsid w:val="403A03F5"/>
    <w:rsid w:val="404E74E8"/>
    <w:rsid w:val="40721429"/>
    <w:rsid w:val="407F58F4"/>
    <w:rsid w:val="408A2001"/>
    <w:rsid w:val="409F1A20"/>
    <w:rsid w:val="40BA6DA3"/>
    <w:rsid w:val="40BE641C"/>
    <w:rsid w:val="40C33A32"/>
    <w:rsid w:val="40DF0854"/>
    <w:rsid w:val="40E95A61"/>
    <w:rsid w:val="417116E0"/>
    <w:rsid w:val="41A45798"/>
    <w:rsid w:val="41C732FD"/>
    <w:rsid w:val="41D24B3B"/>
    <w:rsid w:val="42050EA7"/>
    <w:rsid w:val="42114C71"/>
    <w:rsid w:val="421A58D4"/>
    <w:rsid w:val="42402E61"/>
    <w:rsid w:val="4255690C"/>
    <w:rsid w:val="42611755"/>
    <w:rsid w:val="4267663F"/>
    <w:rsid w:val="42791BB8"/>
    <w:rsid w:val="42B75819"/>
    <w:rsid w:val="42E63A08"/>
    <w:rsid w:val="43065E58"/>
    <w:rsid w:val="43095949"/>
    <w:rsid w:val="430D7573"/>
    <w:rsid w:val="432602A9"/>
    <w:rsid w:val="432B6114"/>
    <w:rsid w:val="43C24475"/>
    <w:rsid w:val="43D45F57"/>
    <w:rsid w:val="43E3619A"/>
    <w:rsid w:val="445718EE"/>
    <w:rsid w:val="448A4A92"/>
    <w:rsid w:val="449F0313"/>
    <w:rsid w:val="44C10289"/>
    <w:rsid w:val="44E623E5"/>
    <w:rsid w:val="44F16CA0"/>
    <w:rsid w:val="45084F4F"/>
    <w:rsid w:val="455B1E2D"/>
    <w:rsid w:val="45796DB6"/>
    <w:rsid w:val="45A11732"/>
    <w:rsid w:val="45D35D56"/>
    <w:rsid w:val="460B37ED"/>
    <w:rsid w:val="461C687A"/>
    <w:rsid w:val="468B1BDA"/>
    <w:rsid w:val="470923BB"/>
    <w:rsid w:val="47255961"/>
    <w:rsid w:val="47620EE7"/>
    <w:rsid w:val="47672E90"/>
    <w:rsid w:val="47DB377D"/>
    <w:rsid w:val="47F47296"/>
    <w:rsid w:val="48233009"/>
    <w:rsid w:val="4847319B"/>
    <w:rsid w:val="48EF0F78"/>
    <w:rsid w:val="48FA7DB5"/>
    <w:rsid w:val="491148DC"/>
    <w:rsid w:val="493F20C4"/>
    <w:rsid w:val="496E48F0"/>
    <w:rsid w:val="49773217"/>
    <w:rsid w:val="49BF4FB3"/>
    <w:rsid w:val="49E11E95"/>
    <w:rsid w:val="49F70BF1"/>
    <w:rsid w:val="4A0A4994"/>
    <w:rsid w:val="4A0F3E5B"/>
    <w:rsid w:val="4A7F4E6E"/>
    <w:rsid w:val="4AE01C0B"/>
    <w:rsid w:val="4AEC002A"/>
    <w:rsid w:val="4B2E1C48"/>
    <w:rsid w:val="4B333CA4"/>
    <w:rsid w:val="4B807C59"/>
    <w:rsid w:val="4B985ABC"/>
    <w:rsid w:val="4C0F5D7E"/>
    <w:rsid w:val="4C755561"/>
    <w:rsid w:val="4C8F5111"/>
    <w:rsid w:val="4CA71F5F"/>
    <w:rsid w:val="4CBB4158"/>
    <w:rsid w:val="4CCC1EC1"/>
    <w:rsid w:val="4CE4720A"/>
    <w:rsid w:val="4D103458"/>
    <w:rsid w:val="4D4128AF"/>
    <w:rsid w:val="4D4D6AF7"/>
    <w:rsid w:val="4D6C4EF6"/>
    <w:rsid w:val="4D6D36A4"/>
    <w:rsid w:val="4D7E0E5D"/>
    <w:rsid w:val="4DAA129E"/>
    <w:rsid w:val="4DBD267D"/>
    <w:rsid w:val="4DEF11B4"/>
    <w:rsid w:val="4DF23BA9"/>
    <w:rsid w:val="4DF774E2"/>
    <w:rsid w:val="4E000D72"/>
    <w:rsid w:val="4E43575C"/>
    <w:rsid w:val="4E526C20"/>
    <w:rsid w:val="4E9D1D67"/>
    <w:rsid w:val="4EA37297"/>
    <w:rsid w:val="4EB33AE4"/>
    <w:rsid w:val="4EC310A1"/>
    <w:rsid w:val="4EC866B8"/>
    <w:rsid w:val="4EE2777A"/>
    <w:rsid w:val="4F010748"/>
    <w:rsid w:val="4F253B0A"/>
    <w:rsid w:val="4F5F53A6"/>
    <w:rsid w:val="4F754A92"/>
    <w:rsid w:val="4F9D7B44"/>
    <w:rsid w:val="4FA43D12"/>
    <w:rsid w:val="4FE86132"/>
    <w:rsid w:val="4FF95CAA"/>
    <w:rsid w:val="4FFD79F6"/>
    <w:rsid w:val="5000141C"/>
    <w:rsid w:val="503A7A3F"/>
    <w:rsid w:val="505C355C"/>
    <w:rsid w:val="507B7E86"/>
    <w:rsid w:val="50966A6E"/>
    <w:rsid w:val="50A3523F"/>
    <w:rsid w:val="50D41344"/>
    <w:rsid w:val="50E81293"/>
    <w:rsid w:val="50F546A4"/>
    <w:rsid w:val="514E3406"/>
    <w:rsid w:val="519D40CC"/>
    <w:rsid w:val="51C55131"/>
    <w:rsid w:val="51DD247A"/>
    <w:rsid w:val="525D6836"/>
    <w:rsid w:val="525F7333"/>
    <w:rsid w:val="52614B24"/>
    <w:rsid w:val="526A3141"/>
    <w:rsid w:val="52707792"/>
    <w:rsid w:val="52716848"/>
    <w:rsid w:val="52741E35"/>
    <w:rsid w:val="52952A7E"/>
    <w:rsid w:val="52BE194B"/>
    <w:rsid w:val="52FE08FA"/>
    <w:rsid w:val="53256896"/>
    <w:rsid w:val="535A2C04"/>
    <w:rsid w:val="53620E89"/>
    <w:rsid w:val="538B1C3E"/>
    <w:rsid w:val="541303D5"/>
    <w:rsid w:val="54320043"/>
    <w:rsid w:val="543807B5"/>
    <w:rsid w:val="544A69F5"/>
    <w:rsid w:val="545D5EF6"/>
    <w:rsid w:val="546E7D01"/>
    <w:rsid w:val="548C3FA5"/>
    <w:rsid w:val="54AC6BF3"/>
    <w:rsid w:val="54D20290"/>
    <w:rsid w:val="54E87AB4"/>
    <w:rsid w:val="550D751A"/>
    <w:rsid w:val="553441E0"/>
    <w:rsid w:val="55784979"/>
    <w:rsid w:val="55CD58BC"/>
    <w:rsid w:val="55FD133D"/>
    <w:rsid w:val="56270168"/>
    <w:rsid w:val="562B400A"/>
    <w:rsid w:val="56786C15"/>
    <w:rsid w:val="56B401E9"/>
    <w:rsid w:val="56CA17BA"/>
    <w:rsid w:val="56D337BA"/>
    <w:rsid w:val="56E10C5F"/>
    <w:rsid w:val="56FA45C0"/>
    <w:rsid w:val="56FE5427"/>
    <w:rsid w:val="57193CA5"/>
    <w:rsid w:val="57323268"/>
    <w:rsid w:val="57491B08"/>
    <w:rsid w:val="5754474F"/>
    <w:rsid w:val="57686C8A"/>
    <w:rsid w:val="57796308"/>
    <w:rsid w:val="58013A42"/>
    <w:rsid w:val="58163C94"/>
    <w:rsid w:val="58293713"/>
    <w:rsid w:val="58405B96"/>
    <w:rsid w:val="584D60A1"/>
    <w:rsid w:val="58701BA4"/>
    <w:rsid w:val="58B06B3A"/>
    <w:rsid w:val="58B2640F"/>
    <w:rsid w:val="58FD484E"/>
    <w:rsid w:val="58FF717A"/>
    <w:rsid w:val="59091DA7"/>
    <w:rsid w:val="5913597C"/>
    <w:rsid w:val="592E180D"/>
    <w:rsid w:val="594F166E"/>
    <w:rsid w:val="596F471E"/>
    <w:rsid w:val="5976568E"/>
    <w:rsid w:val="597E09E7"/>
    <w:rsid w:val="59831FEA"/>
    <w:rsid w:val="5984243F"/>
    <w:rsid w:val="598C71A6"/>
    <w:rsid w:val="59B241EC"/>
    <w:rsid w:val="5A5A0B0C"/>
    <w:rsid w:val="5A763514"/>
    <w:rsid w:val="5AA505A9"/>
    <w:rsid w:val="5B8F0C89"/>
    <w:rsid w:val="5B975D90"/>
    <w:rsid w:val="5BA67D81"/>
    <w:rsid w:val="5BB9213F"/>
    <w:rsid w:val="5BB94622"/>
    <w:rsid w:val="5C0E5905"/>
    <w:rsid w:val="5C1D6295"/>
    <w:rsid w:val="5C2855D3"/>
    <w:rsid w:val="5C480E38"/>
    <w:rsid w:val="5C58551F"/>
    <w:rsid w:val="5C5932CD"/>
    <w:rsid w:val="5C797243"/>
    <w:rsid w:val="5C9A1694"/>
    <w:rsid w:val="5CA45FF8"/>
    <w:rsid w:val="5CC826A5"/>
    <w:rsid w:val="5D0946A3"/>
    <w:rsid w:val="5D152E64"/>
    <w:rsid w:val="5D4A4535"/>
    <w:rsid w:val="5D5C6839"/>
    <w:rsid w:val="5D610E09"/>
    <w:rsid w:val="5D83481E"/>
    <w:rsid w:val="5DC10EA2"/>
    <w:rsid w:val="5DD24E5D"/>
    <w:rsid w:val="5DEE3BA9"/>
    <w:rsid w:val="5DEF4959"/>
    <w:rsid w:val="5E267311"/>
    <w:rsid w:val="5E2F405E"/>
    <w:rsid w:val="5E4A533B"/>
    <w:rsid w:val="5E7E6D93"/>
    <w:rsid w:val="5E810B9A"/>
    <w:rsid w:val="5E9F031F"/>
    <w:rsid w:val="5EC475A3"/>
    <w:rsid w:val="5EF05EE3"/>
    <w:rsid w:val="5F013C4C"/>
    <w:rsid w:val="5F2C5C42"/>
    <w:rsid w:val="5F5226F9"/>
    <w:rsid w:val="5F8B19CE"/>
    <w:rsid w:val="5FA25E8E"/>
    <w:rsid w:val="5FC553F9"/>
    <w:rsid w:val="5FCD4188"/>
    <w:rsid w:val="607652AB"/>
    <w:rsid w:val="60982B08"/>
    <w:rsid w:val="60D33AB4"/>
    <w:rsid w:val="61140A6E"/>
    <w:rsid w:val="61340545"/>
    <w:rsid w:val="615F2EAC"/>
    <w:rsid w:val="61693D2A"/>
    <w:rsid w:val="61A3723C"/>
    <w:rsid w:val="61AB7E9F"/>
    <w:rsid w:val="61BE04DD"/>
    <w:rsid w:val="624106BC"/>
    <w:rsid w:val="62432C80"/>
    <w:rsid w:val="624C7EAA"/>
    <w:rsid w:val="62BE2ED2"/>
    <w:rsid w:val="62D84CC4"/>
    <w:rsid w:val="62EA49F7"/>
    <w:rsid w:val="63482606"/>
    <w:rsid w:val="634E31D8"/>
    <w:rsid w:val="63730E90"/>
    <w:rsid w:val="63780255"/>
    <w:rsid w:val="63803D25"/>
    <w:rsid w:val="63A31776"/>
    <w:rsid w:val="63B84AF5"/>
    <w:rsid w:val="63C67A48"/>
    <w:rsid w:val="63CB5B7A"/>
    <w:rsid w:val="646F1658"/>
    <w:rsid w:val="646F78AA"/>
    <w:rsid w:val="647153D0"/>
    <w:rsid w:val="64740253"/>
    <w:rsid w:val="648669A1"/>
    <w:rsid w:val="64B63994"/>
    <w:rsid w:val="64D25EED"/>
    <w:rsid w:val="6589499B"/>
    <w:rsid w:val="658E6816"/>
    <w:rsid w:val="65913850"/>
    <w:rsid w:val="65A52F65"/>
    <w:rsid w:val="660404C6"/>
    <w:rsid w:val="6614022E"/>
    <w:rsid w:val="662B5A52"/>
    <w:rsid w:val="66415276"/>
    <w:rsid w:val="666B22F3"/>
    <w:rsid w:val="66A204DB"/>
    <w:rsid w:val="66AA2E1B"/>
    <w:rsid w:val="66D32372"/>
    <w:rsid w:val="66F45E44"/>
    <w:rsid w:val="672A3F5C"/>
    <w:rsid w:val="67550FD9"/>
    <w:rsid w:val="675608AD"/>
    <w:rsid w:val="67BB6BE3"/>
    <w:rsid w:val="67D8681C"/>
    <w:rsid w:val="67FF476C"/>
    <w:rsid w:val="680635B5"/>
    <w:rsid w:val="68071BA7"/>
    <w:rsid w:val="681C6DDC"/>
    <w:rsid w:val="68202928"/>
    <w:rsid w:val="68257787"/>
    <w:rsid w:val="6837143F"/>
    <w:rsid w:val="68386205"/>
    <w:rsid w:val="685E3505"/>
    <w:rsid w:val="686053EB"/>
    <w:rsid w:val="68784853"/>
    <w:rsid w:val="68963B71"/>
    <w:rsid w:val="68D2302F"/>
    <w:rsid w:val="68DE50D4"/>
    <w:rsid w:val="690B1195"/>
    <w:rsid w:val="69286279"/>
    <w:rsid w:val="692D388F"/>
    <w:rsid w:val="69337D87"/>
    <w:rsid w:val="693B41FE"/>
    <w:rsid w:val="693E784B"/>
    <w:rsid w:val="6942733B"/>
    <w:rsid w:val="698F0309"/>
    <w:rsid w:val="698F1823"/>
    <w:rsid w:val="69D74CAB"/>
    <w:rsid w:val="69D87C9F"/>
    <w:rsid w:val="6A312266"/>
    <w:rsid w:val="6AB9187F"/>
    <w:rsid w:val="6B054AC4"/>
    <w:rsid w:val="6B0A0E3D"/>
    <w:rsid w:val="6B647A08"/>
    <w:rsid w:val="6B99463B"/>
    <w:rsid w:val="6C022378"/>
    <w:rsid w:val="6C3A3533"/>
    <w:rsid w:val="6C427652"/>
    <w:rsid w:val="6C6E6699"/>
    <w:rsid w:val="6C81017A"/>
    <w:rsid w:val="6C892A9E"/>
    <w:rsid w:val="6CC10EBE"/>
    <w:rsid w:val="6CF83784"/>
    <w:rsid w:val="6D0D3E13"/>
    <w:rsid w:val="6D4F64CA"/>
    <w:rsid w:val="6D745F31"/>
    <w:rsid w:val="6DA253D5"/>
    <w:rsid w:val="6DA57E98"/>
    <w:rsid w:val="6DC836FE"/>
    <w:rsid w:val="6DC915B7"/>
    <w:rsid w:val="6E522AC7"/>
    <w:rsid w:val="6F213E96"/>
    <w:rsid w:val="6F3516F0"/>
    <w:rsid w:val="6F410D93"/>
    <w:rsid w:val="6F5853FA"/>
    <w:rsid w:val="6F5E0C47"/>
    <w:rsid w:val="6F811AC9"/>
    <w:rsid w:val="6F8369CC"/>
    <w:rsid w:val="6F8C57B4"/>
    <w:rsid w:val="6FA27437"/>
    <w:rsid w:val="6FC211D5"/>
    <w:rsid w:val="6FE54EC4"/>
    <w:rsid w:val="6FF9271D"/>
    <w:rsid w:val="700F687F"/>
    <w:rsid w:val="701C5C8F"/>
    <w:rsid w:val="70453BB5"/>
    <w:rsid w:val="70455963"/>
    <w:rsid w:val="704D75D3"/>
    <w:rsid w:val="709A3F00"/>
    <w:rsid w:val="70A24B63"/>
    <w:rsid w:val="70AD0C70"/>
    <w:rsid w:val="70EF03CF"/>
    <w:rsid w:val="70F03B20"/>
    <w:rsid w:val="70FF3D63"/>
    <w:rsid w:val="711710AD"/>
    <w:rsid w:val="71194D26"/>
    <w:rsid w:val="71461992"/>
    <w:rsid w:val="71522014"/>
    <w:rsid w:val="716A38D3"/>
    <w:rsid w:val="71AA4022"/>
    <w:rsid w:val="71B36DE8"/>
    <w:rsid w:val="71D13952"/>
    <w:rsid w:val="71E74F23"/>
    <w:rsid w:val="7200787E"/>
    <w:rsid w:val="72077373"/>
    <w:rsid w:val="724C4180"/>
    <w:rsid w:val="728601D9"/>
    <w:rsid w:val="728D545A"/>
    <w:rsid w:val="72952BD1"/>
    <w:rsid w:val="72B85EC2"/>
    <w:rsid w:val="72C15774"/>
    <w:rsid w:val="72CA1512"/>
    <w:rsid w:val="72DE2684"/>
    <w:rsid w:val="732706F9"/>
    <w:rsid w:val="73683E42"/>
    <w:rsid w:val="737C091C"/>
    <w:rsid w:val="737E5EBB"/>
    <w:rsid w:val="73BB6668"/>
    <w:rsid w:val="74196F15"/>
    <w:rsid w:val="74561EEC"/>
    <w:rsid w:val="74566748"/>
    <w:rsid w:val="74933140"/>
    <w:rsid w:val="74A0760B"/>
    <w:rsid w:val="74A90E7B"/>
    <w:rsid w:val="74AE1F59"/>
    <w:rsid w:val="750D281F"/>
    <w:rsid w:val="7561323F"/>
    <w:rsid w:val="758D4034"/>
    <w:rsid w:val="764E6D27"/>
    <w:rsid w:val="76522B87"/>
    <w:rsid w:val="76D42363"/>
    <w:rsid w:val="76F537B4"/>
    <w:rsid w:val="77041622"/>
    <w:rsid w:val="77160F3E"/>
    <w:rsid w:val="775841CD"/>
    <w:rsid w:val="77955421"/>
    <w:rsid w:val="77A35AC4"/>
    <w:rsid w:val="77BF27F9"/>
    <w:rsid w:val="77CB2BF1"/>
    <w:rsid w:val="77FA6D96"/>
    <w:rsid w:val="788D7EA7"/>
    <w:rsid w:val="78AF2513"/>
    <w:rsid w:val="78BF6913"/>
    <w:rsid w:val="78EA7BB8"/>
    <w:rsid w:val="78EC78E8"/>
    <w:rsid w:val="78F9488B"/>
    <w:rsid w:val="78FB585E"/>
    <w:rsid w:val="791F31F5"/>
    <w:rsid w:val="797E490C"/>
    <w:rsid w:val="79954464"/>
    <w:rsid w:val="79AE4579"/>
    <w:rsid w:val="7A4D1FE3"/>
    <w:rsid w:val="7A5056DF"/>
    <w:rsid w:val="7A6A042B"/>
    <w:rsid w:val="7A861051"/>
    <w:rsid w:val="7A9B4F7E"/>
    <w:rsid w:val="7A9E185E"/>
    <w:rsid w:val="7AE446F6"/>
    <w:rsid w:val="7AFE508C"/>
    <w:rsid w:val="7B2A23CC"/>
    <w:rsid w:val="7B506A29"/>
    <w:rsid w:val="7B51165F"/>
    <w:rsid w:val="7B6F2B92"/>
    <w:rsid w:val="7B8729B1"/>
    <w:rsid w:val="7BA63759"/>
    <w:rsid w:val="7BA774D1"/>
    <w:rsid w:val="7C635AEE"/>
    <w:rsid w:val="7C7750F6"/>
    <w:rsid w:val="7CC145C3"/>
    <w:rsid w:val="7CE97137"/>
    <w:rsid w:val="7CF00834"/>
    <w:rsid w:val="7D23702C"/>
    <w:rsid w:val="7D60025D"/>
    <w:rsid w:val="7D644FF4"/>
    <w:rsid w:val="7D703C77"/>
    <w:rsid w:val="7D7E3A3A"/>
    <w:rsid w:val="7DB83C18"/>
    <w:rsid w:val="7DCC30E9"/>
    <w:rsid w:val="7DEE13E8"/>
    <w:rsid w:val="7E387366"/>
    <w:rsid w:val="7E4746A1"/>
    <w:rsid w:val="7E573431"/>
    <w:rsid w:val="7E635932"/>
    <w:rsid w:val="7E696CC0"/>
    <w:rsid w:val="7E7A0ECD"/>
    <w:rsid w:val="7E8B351C"/>
    <w:rsid w:val="7E9F703A"/>
    <w:rsid w:val="7F1C0902"/>
    <w:rsid w:val="7F2841B1"/>
    <w:rsid w:val="7F2D5F40"/>
    <w:rsid w:val="7F4670CD"/>
    <w:rsid w:val="7F4A22C8"/>
    <w:rsid w:val="7F5257BC"/>
    <w:rsid w:val="7F676E27"/>
    <w:rsid w:val="7F7B4A4E"/>
    <w:rsid w:val="7F9E2999"/>
    <w:rsid w:val="7FDA60C7"/>
    <w:rsid w:val="7FDF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unhideWhenUsed/>
    <w:qFormat/>
    <w:uiPriority w:val="9"/>
    <w:pPr>
      <w:keepNext/>
      <w:keepLines/>
      <w:spacing w:before="120" w:after="120" w:line="360" w:lineRule="auto"/>
      <w:contextualSpacing/>
      <w:jc w:val="left"/>
      <w:outlineLvl w:val="2"/>
    </w:pPr>
    <w:rPr>
      <w:rFonts w:ascii="宋体" w:hAnsi="宋体"/>
      <w:b/>
      <w:bCs/>
      <w:kern w:val="0"/>
      <w:sz w:val="24"/>
      <w:szCs w:val="24"/>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Document Map"/>
    <w:basedOn w:val="1"/>
    <w:link w:val="28"/>
    <w:unhideWhenUsed/>
    <w:qFormat/>
    <w:uiPriority w:val="99"/>
    <w:rPr>
      <w:rFonts w:ascii="宋体" w:eastAsia="宋体"/>
      <w:sz w:val="18"/>
      <w:szCs w:val="18"/>
    </w:rPr>
  </w:style>
  <w:style w:type="paragraph" w:styleId="6">
    <w:name w:val="Body Text Indent"/>
    <w:basedOn w:val="1"/>
    <w:qFormat/>
    <w:uiPriority w:val="0"/>
    <w:pPr>
      <w:spacing w:after="120" w:afterLines="0"/>
      <w:ind w:leftChars="200"/>
    </w:pPr>
    <w:rPr>
      <w:rFonts w:ascii="宋体" w:hAnsi="宋体"/>
    </w:rPr>
  </w:style>
  <w:style w:type="paragraph" w:styleId="7">
    <w:name w:val="toc 3"/>
    <w:basedOn w:val="1"/>
    <w:next w:val="1"/>
    <w:unhideWhenUsed/>
    <w:qFormat/>
    <w:uiPriority w:val="39"/>
    <w:pPr>
      <w:widowControl/>
      <w:spacing w:after="100" w:line="259" w:lineRule="auto"/>
      <w:ind w:left="440"/>
      <w:jc w:val="left"/>
    </w:pPr>
    <w:rPr>
      <w:rFonts w:cs="Times New Roman"/>
      <w:kern w:val="0"/>
      <w:sz w:val="22"/>
    </w:rPr>
  </w:style>
  <w:style w:type="paragraph" w:styleId="8">
    <w:name w:val="Plain Text"/>
    <w:basedOn w:val="1"/>
    <w:unhideWhenUsed/>
    <w:qFormat/>
    <w:uiPriority w:val="99"/>
    <w:rPr>
      <w:rFonts w:ascii="宋体" w:hAnsi="Courier New"/>
      <w:szCs w:val="20"/>
    </w:rPr>
  </w:style>
  <w:style w:type="paragraph" w:styleId="9">
    <w:name w:val="Balloon Text"/>
    <w:basedOn w:val="1"/>
    <w:link w:val="27"/>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cs="Times New Roman"/>
      <w:kern w:val="0"/>
      <w:sz w:val="22"/>
    </w:rPr>
  </w:style>
  <w:style w:type="paragraph" w:styleId="13">
    <w:name w:val="toc 2"/>
    <w:basedOn w:val="1"/>
    <w:next w:val="1"/>
    <w:unhideWhenUsed/>
    <w:qFormat/>
    <w:uiPriority w:val="39"/>
    <w:pPr>
      <w:widowControl/>
      <w:spacing w:after="100" w:line="259" w:lineRule="auto"/>
      <w:ind w:left="220"/>
      <w:jc w:val="left"/>
    </w:pPr>
    <w:rPr>
      <w:rFonts w:cs="Times New Roman"/>
      <w:kern w:val="0"/>
      <w:sz w:val="22"/>
    </w:rPr>
  </w:style>
  <w:style w:type="paragraph" w:styleId="14">
    <w:name w:val="Title"/>
    <w:basedOn w:val="1"/>
    <w:next w:val="1"/>
    <w:qFormat/>
    <w:uiPriority w:val="10"/>
    <w:pPr>
      <w:tabs>
        <w:tab w:val="left" w:pos="3840"/>
      </w:tabs>
      <w:contextualSpacing/>
      <w:jc w:val="left"/>
      <w:outlineLvl w:val="0"/>
    </w:pPr>
    <w:rPr>
      <w:rFonts w:ascii="Cambria" w:hAnsi="Cambria"/>
      <w:b/>
      <w:bCs/>
      <w:kern w:val="0"/>
      <w:sz w:val="28"/>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页眉 Char"/>
    <w:basedOn w:val="17"/>
    <w:link w:val="11"/>
    <w:qFormat/>
    <w:uiPriority w:val="99"/>
    <w:rPr>
      <w:sz w:val="18"/>
      <w:szCs w:val="18"/>
    </w:rPr>
  </w:style>
  <w:style w:type="character" w:customStyle="1" w:styleId="20">
    <w:name w:val="页脚 Char"/>
    <w:basedOn w:val="17"/>
    <w:link w:val="10"/>
    <w:qFormat/>
    <w:uiPriority w:val="99"/>
    <w:rPr>
      <w:sz w:val="18"/>
      <w:szCs w:val="18"/>
    </w:rPr>
  </w:style>
  <w:style w:type="character" w:customStyle="1" w:styleId="21">
    <w:name w:val="标题 1 Char"/>
    <w:basedOn w:val="17"/>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3">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24">
    <w:name w:val="标题 2 Char"/>
    <w:basedOn w:val="17"/>
    <w:link w:val="3"/>
    <w:qFormat/>
    <w:uiPriority w:val="0"/>
    <w:rPr>
      <w:rFonts w:ascii="Arial" w:hAnsi="Arial" w:eastAsia="黑体" w:cs="Times New Roman"/>
      <w:b/>
      <w:bCs/>
      <w:sz w:val="32"/>
      <w:szCs w:val="32"/>
    </w:rPr>
  </w:style>
  <w:style w:type="paragraph" w:customStyle="1" w:styleId="25">
    <w:name w:val="目录"/>
    <w:basedOn w:val="1"/>
    <w:qFormat/>
    <w:uiPriority w:val="0"/>
    <w:rPr>
      <w:rFonts w:ascii="楷体_GB2312" w:hAnsi="Times New Roman" w:eastAsia="楷体_GB2312" w:cs="Times New Roman"/>
      <w:b/>
      <w:bCs/>
      <w:sz w:val="36"/>
      <w:szCs w:val="36"/>
    </w:rPr>
  </w:style>
  <w:style w:type="paragraph" w:customStyle="1" w:styleId="26">
    <w:name w:val="列出段落1"/>
    <w:basedOn w:val="1"/>
    <w:qFormat/>
    <w:uiPriority w:val="34"/>
    <w:pPr>
      <w:widowControl/>
      <w:ind w:firstLine="420" w:firstLineChars="200"/>
      <w:jc w:val="left"/>
    </w:pPr>
    <w:rPr>
      <w:rFonts w:ascii="宋体" w:hAnsi="宋体" w:eastAsia="宋体" w:cs="宋体"/>
      <w:kern w:val="0"/>
      <w:sz w:val="24"/>
      <w:szCs w:val="24"/>
    </w:rPr>
  </w:style>
  <w:style w:type="character" w:customStyle="1" w:styleId="27">
    <w:name w:val="批注框文本 Char"/>
    <w:basedOn w:val="17"/>
    <w:link w:val="9"/>
    <w:semiHidden/>
    <w:qFormat/>
    <w:uiPriority w:val="99"/>
    <w:rPr>
      <w:sz w:val="18"/>
      <w:szCs w:val="18"/>
    </w:rPr>
  </w:style>
  <w:style w:type="character" w:customStyle="1" w:styleId="28">
    <w:name w:val="文档结构图 Char"/>
    <w:basedOn w:val="17"/>
    <w:link w:val="5"/>
    <w:semiHidden/>
    <w:qFormat/>
    <w:uiPriority w:val="99"/>
    <w:rPr>
      <w:rFonts w:ascii="宋体" w:eastAsia="宋体"/>
      <w:sz w:val="18"/>
      <w:szCs w:val="18"/>
    </w:rPr>
  </w:style>
  <w:style w:type="paragraph" w:customStyle="1" w:styleId="29">
    <w:name w:val="USE 1"/>
    <w:basedOn w:val="1"/>
    <w:qFormat/>
    <w:uiPriority w:val="0"/>
    <w:pPr>
      <w:spacing w:line="200" w:lineRule="exact"/>
      <w:ind w:firstLine="200" w:firstLineChars="200"/>
      <w:contextualSpacing/>
      <w:jc w:val="left"/>
    </w:pPr>
    <w:rPr>
      <w:rFonts w:ascii="宋体" w:hAnsi="宋体"/>
      <w:b/>
      <w:sz w:val="24"/>
      <w:szCs w:val="28"/>
    </w:rPr>
  </w:style>
  <w:style w:type="character" w:customStyle="1" w:styleId="30">
    <w:name w:val="font51"/>
    <w:basedOn w:val="17"/>
    <w:qFormat/>
    <w:uiPriority w:val="0"/>
    <w:rPr>
      <w:rFonts w:hint="default" w:ascii="仿宋_GB2312" w:eastAsia="仿宋_GB2312" w:cs="仿宋_GB2312"/>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21"/>
    <w:basedOn w:val="17"/>
    <w:qFormat/>
    <w:uiPriority w:val="0"/>
    <w:rPr>
      <w:rFonts w:hint="default" w:ascii="仿宋_GB2312" w:eastAsia="仿宋_GB2312" w:cs="仿宋_GB2312"/>
      <w:color w:val="000000"/>
      <w:sz w:val="20"/>
      <w:szCs w:val="20"/>
      <w:u w:val="none"/>
    </w:rPr>
  </w:style>
  <w:style w:type="character" w:customStyle="1" w:styleId="33">
    <w:name w:val="font41"/>
    <w:basedOn w:val="17"/>
    <w:qFormat/>
    <w:uiPriority w:val="0"/>
    <w:rPr>
      <w:rFonts w:hint="eastAsia" w:ascii="华文细黑" w:hAnsi="华文细黑" w:eastAsia="华文细黑" w:cs="华文细黑"/>
      <w:color w:val="000000"/>
      <w:sz w:val="24"/>
      <w:szCs w:val="24"/>
      <w:u w:val="none"/>
    </w:rPr>
  </w:style>
  <w:style w:type="paragraph" w:customStyle="1" w:styleId="3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5">
    <w:name w:val="Heading 4"/>
    <w:basedOn w:val="1"/>
    <w:autoRedefine/>
    <w:qFormat/>
    <w:uiPriority w:val="1"/>
    <w:pPr>
      <w:spacing w:before="54"/>
      <w:ind w:left="5"/>
      <w:jc w:val="center"/>
      <w:outlineLvl w:val="4"/>
    </w:pPr>
    <w:rPr>
      <w:rFonts w:ascii="宋体" w:hAnsi="宋体" w:eastAsia="宋体" w:cs="宋体"/>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7F7D1-EAF6-426B-9B23-B133E3D8E2D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5740</Words>
  <Characters>5788</Characters>
  <Lines>37</Lines>
  <Paragraphs>10</Paragraphs>
  <TotalTime>9</TotalTime>
  <ScaleCrop>false</ScaleCrop>
  <LinksUpToDate>false</LinksUpToDate>
  <CharactersWithSpaces>6481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2017-05-03T03:01:00Z</dcterms:created>
  <dc:creator>黄兴科</dc:creator>
  <cp:lastModifiedBy>janicehah</cp:lastModifiedBy>
  <cp:lastPrinted>2017-02-10T06:54:00Z</cp:lastPrinted>
  <dcterms:modified xsi:type="dcterms:W3CDTF">2025-06-30T00:54:40Z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3DB8800E81F04E1B97D4B714D23AF571</vt:lpwstr>
  </property>
</Properties>
</file>