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黑体" w:hAnsi="黑体" w:eastAsia="黑体" w:cs="黑体"/>
          <w:b/>
          <w:bCs/>
          <w:color w:val="000000" w:themeColor="text1"/>
          <w:sz w:val="48"/>
          <w:szCs w:val="48"/>
          <w:highlight w:val="yellow"/>
          <w14:textFill>
            <w14:solidFill>
              <w14:schemeClr w14:val="tx1"/>
            </w14:solidFill>
          </w14:textFill>
        </w:rPr>
      </w:pPr>
    </w:p>
    <w:p>
      <w:pPr>
        <w:spacing w:line="720" w:lineRule="auto"/>
        <w:jc w:val="center"/>
        <w:rPr>
          <w:rFonts w:hint="eastAsia" w:ascii="黑体" w:hAnsi="黑体" w:eastAsia="黑体" w:cs="黑体"/>
          <w:b/>
          <w:bCs/>
          <w:color w:val="000000" w:themeColor="text1"/>
          <w:sz w:val="48"/>
          <w:szCs w:val="48"/>
          <w:highlight w:val="yellow"/>
          <w14:textFill>
            <w14:solidFill>
              <w14:schemeClr w14:val="tx1"/>
            </w14:solidFill>
          </w14:textFill>
        </w:rPr>
      </w:pPr>
    </w:p>
    <w:p>
      <w:pPr>
        <w:spacing w:line="720" w:lineRule="auto"/>
        <w:jc w:val="center"/>
        <w:rPr>
          <w:rFonts w:hint="eastAsia" w:ascii="黑体" w:hAnsi="黑体" w:eastAsia="黑体" w:cs="黑体"/>
          <w:b/>
          <w:bCs/>
          <w:color w:val="000000" w:themeColor="text1"/>
          <w:sz w:val="48"/>
          <w:szCs w:val="48"/>
          <w:highlight w:val="yellow"/>
          <w14:textFill>
            <w14:solidFill>
              <w14:schemeClr w14:val="tx1"/>
            </w14:solidFill>
          </w14:textFill>
        </w:rPr>
      </w:pPr>
    </w:p>
    <w:p>
      <w:pPr>
        <w:spacing w:line="720" w:lineRule="auto"/>
        <w:jc w:val="center"/>
        <w:rPr>
          <w:rFonts w:hint="eastAsia" w:ascii="黑体" w:hAnsi="黑体" w:eastAsia="黑体" w:cs="黑体"/>
          <w:b w:val="0"/>
          <w:bCs w:val="0"/>
          <w:color w:val="000000" w:themeColor="text1"/>
          <w:sz w:val="48"/>
          <w:szCs w:val="48"/>
          <w:highlight w:val="none"/>
          <w:lang w:val="en-US" w:eastAsia="zh-CN"/>
          <w14:textFill>
            <w14:solidFill>
              <w14:schemeClr w14:val="tx1"/>
            </w14:solidFill>
          </w14:textFill>
        </w:rPr>
      </w:pPr>
      <w:bookmarkStart w:id="0" w:name="OLE_LINK2"/>
      <w:r>
        <w:rPr>
          <w:rFonts w:hint="eastAsia" w:ascii="黑体" w:hAnsi="黑体" w:eastAsia="黑体" w:cs="黑体"/>
          <w:b w:val="0"/>
          <w:bCs w:val="0"/>
          <w:color w:val="000000" w:themeColor="text1"/>
          <w:sz w:val="48"/>
          <w:szCs w:val="48"/>
          <w:highlight w:val="none"/>
          <w:lang w:val="en-US" w:eastAsia="zh-CN"/>
          <w14:textFill>
            <w14:solidFill>
              <w14:schemeClr w14:val="tx1"/>
            </w14:solidFill>
          </w14:textFill>
        </w:rPr>
        <w:t>海口市乡村振兴投资发展集团有限公司</w:t>
      </w:r>
    </w:p>
    <w:p>
      <w:pPr>
        <w:spacing w:line="720" w:lineRule="auto"/>
        <w:jc w:val="center"/>
        <w:rPr>
          <w:rFonts w:hint="eastAsia" w:ascii="黑体" w:hAnsi="黑体" w:eastAsia="黑体" w:cs="黑体"/>
          <w:b w:val="0"/>
          <w:bCs w:val="0"/>
          <w:color w:val="000000" w:themeColor="text1"/>
          <w:sz w:val="48"/>
          <w:szCs w:val="48"/>
          <w:lang w:eastAsia="zh-CN"/>
          <w14:textFill>
            <w14:solidFill>
              <w14:schemeClr w14:val="tx1"/>
            </w14:solidFill>
          </w14:textFill>
        </w:rPr>
      </w:pPr>
      <w:r>
        <w:rPr>
          <w:rFonts w:hint="eastAsia" w:ascii="黑体" w:hAnsi="黑体" w:eastAsia="黑体" w:cs="黑体"/>
          <w:b w:val="0"/>
          <w:bCs w:val="0"/>
          <w:color w:val="000000" w:themeColor="text1"/>
          <w:sz w:val="48"/>
          <w:szCs w:val="48"/>
          <w14:textFill>
            <w14:solidFill>
              <w14:schemeClr w14:val="tx1"/>
            </w14:solidFill>
          </w14:textFill>
        </w:rPr>
        <w:t>企业年金</w:t>
      </w:r>
      <w:r>
        <w:rPr>
          <w:rFonts w:hint="eastAsia" w:ascii="黑体" w:hAnsi="黑体" w:eastAsia="黑体" w:cs="黑体"/>
          <w:b w:val="0"/>
          <w:bCs w:val="0"/>
          <w:color w:val="000000" w:themeColor="text1"/>
          <w:sz w:val="48"/>
          <w:szCs w:val="48"/>
          <w:lang w:val="en-US" w:eastAsia="zh-CN"/>
          <w14:textFill>
            <w14:solidFill>
              <w14:schemeClr w14:val="tx1"/>
            </w14:solidFill>
          </w14:textFill>
        </w:rPr>
        <w:t>受托管理服务</w:t>
      </w:r>
    </w:p>
    <w:bookmarkEnd w:id="0"/>
    <w:p>
      <w:pPr>
        <w:spacing w:line="720" w:lineRule="auto"/>
        <w:jc w:val="center"/>
        <w:rPr>
          <w:rFonts w:hint="eastAsia" w:ascii="黑体" w:hAnsi="黑体" w:eastAsia="黑体" w:cs="黑体"/>
          <w:b w:val="0"/>
          <w:bCs w:val="0"/>
          <w:color w:val="000000" w:themeColor="text1"/>
          <w:sz w:val="48"/>
          <w:szCs w:val="48"/>
          <w:lang w:eastAsia="zh-CN"/>
          <w14:textFill>
            <w14:solidFill>
              <w14:schemeClr w14:val="tx1"/>
            </w14:solidFill>
          </w14:textFill>
        </w:rPr>
      </w:pPr>
    </w:p>
    <w:p>
      <w:pPr>
        <w:spacing w:line="720" w:lineRule="auto"/>
        <w:jc w:val="center"/>
        <w:rPr>
          <w:rFonts w:hint="eastAsia" w:ascii="黑体" w:hAnsi="黑体" w:eastAsia="黑体" w:cs="黑体"/>
          <w:b w:val="0"/>
          <w:bCs w:val="0"/>
          <w:color w:val="000000" w:themeColor="text1"/>
          <w:sz w:val="72"/>
          <w:szCs w:val="72"/>
          <w14:textFill>
            <w14:solidFill>
              <w14:schemeClr w14:val="tx1"/>
            </w14:solidFill>
          </w14:textFill>
        </w:rPr>
      </w:pPr>
      <w:r>
        <w:rPr>
          <w:rFonts w:hint="eastAsia" w:ascii="黑体" w:hAnsi="黑体" w:eastAsia="黑体" w:cs="黑体"/>
          <w:b w:val="0"/>
          <w:bCs w:val="0"/>
          <w:color w:val="000000" w:themeColor="text1"/>
          <w:sz w:val="72"/>
          <w:szCs w:val="72"/>
          <w:lang w:val="en-US" w:eastAsia="zh-CN"/>
          <w14:textFill>
            <w14:solidFill>
              <w14:schemeClr w14:val="tx1"/>
            </w14:solidFill>
          </w14:textFill>
        </w:rPr>
        <w:t>比选</w:t>
      </w:r>
      <w:r>
        <w:rPr>
          <w:rFonts w:hint="eastAsia" w:ascii="黑体" w:hAnsi="黑体" w:eastAsia="黑体" w:cs="黑体"/>
          <w:b w:val="0"/>
          <w:bCs w:val="0"/>
          <w:color w:val="000000" w:themeColor="text1"/>
          <w:sz w:val="72"/>
          <w:szCs w:val="72"/>
          <w14:textFill>
            <w14:solidFill>
              <w14:schemeClr w14:val="tx1"/>
            </w14:solidFill>
          </w14:textFill>
        </w:rPr>
        <w:t>文件</w:t>
      </w:r>
    </w:p>
    <w:p>
      <w:pPr>
        <w:spacing w:afterLines="50" w:line="360" w:lineRule="auto"/>
        <w:jc w:val="center"/>
        <w:rPr>
          <w:rFonts w:hint="eastAsia" w:ascii="黑体" w:hAnsi="黑体" w:eastAsia="黑体" w:cs="黑体"/>
          <w:b/>
          <w:bCs/>
          <w:color w:val="000000" w:themeColor="text1"/>
          <w:sz w:val="48"/>
          <w:szCs w:val="48"/>
          <w14:textFill>
            <w14:solidFill>
              <w14:schemeClr w14:val="tx1"/>
            </w14:solidFill>
          </w14:textFill>
        </w:rPr>
      </w:pPr>
    </w:p>
    <w:p>
      <w:pPr>
        <w:spacing w:afterLines="50" w:line="360" w:lineRule="auto"/>
        <w:jc w:val="center"/>
        <w:rPr>
          <w:rFonts w:hint="eastAsia" w:ascii="黑体" w:hAnsi="黑体" w:eastAsia="黑体" w:cs="黑体"/>
          <w:b/>
          <w:bCs/>
          <w:color w:val="000000" w:themeColor="text1"/>
          <w:sz w:val="48"/>
          <w:szCs w:val="48"/>
          <w14:textFill>
            <w14:solidFill>
              <w14:schemeClr w14:val="tx1"/>
            </w14:solidFill>
          </w14:textFill>
        </w:rPr>
      </w:pPr>
    </w:p>
    <w:p>
      <w:pPr>
        <w:spacing w:afterLines="50" w:line="360" w:lineRule="auto"/>
        <w:jc w:val="center"/>
        <w:rPr>
          <w:rFonts w:hint="eastAsia" w:ascii="仿宋" w:hAnsi="仿宋" w:eastAsia="仿宋" w:cs="仿宋"/>
          <w:b/>
          <w:bCs/>
          <w:color w:val="000000" w:themeColor="text1"/>
          <w:sz w:val="24"/>
          <w:szCs w:val="24"/>
          <w14:textFill>
            <w14:solidFill>
              <w14:schemeClr w14:val="tx1"/>
            </w14:solidFill>
          </w14:textFill>
        </w:rPr>
      </w:pPr>
    </w:p>
    <w:p>
      <w:pPr>
        <w:spacing w:afterLines="50" w:line="360" w:lineRule="auto"/>
        <w:jc w:val="center"/>
        <w:rPr>
          <w:rFonts w:hint="eastAsia" w:ascii="仿宋" w:hAnsi="仿宋" w:eastAsia="仿宋" w:cs="仿宋"/>
          <w:b/>
          <w:bCs/>
          <w:color w:val="000000" w:themeColor="text1"/>
          <w:sz w:val="24"/>
          <w:szCs w:val="24"/>
          <w14:textFill>
            <w14:solidFill>
              <w14:schemeClr w14:val="tx1"/>
            </w14:solidFill>
          </w14:textFill>
        </w:rPr>
      </w:pPr>
    </w:p>
    <w:p>
      <w:pPr>
        <w:spacing w:afterLines="50" w:line="360" w:lineRule="auto"/>
        <w:jc w:val="center"/>
        <w:rPr>
          <w:rFonts w:hint="eastAsia" w:ascii="仿宋" w:hAnsi="仿宋" w:eastAsia="仿宋" w:cs="仿宋"/>
          <w:b/>
          <w:bCs/>
          <w:color w:val="000000" w:themeColor="text1"/>
          <w:sz w:val="24"/>
          <w:szCs w:val="24"/>
          <w14:textFill>
            <w14:solidFill>
              <w14:schemeClr w14:val="tx1"/>
            </w14:solidFill>
          </w14:textFill>
        </w:rPr>
      </w:pPr>
    </w:p>
    <w:p>
      <w:pPr>
        <w:spacing w:line="360" w:lineRule="auto"/>
        <w:jc w:val="left"/>
        <w:rPr>
          <w:rFonts w:hint="eastAsia" w:ascii="仿宋" w:hAnsi="仿宋" w:eastAsia="仿宋" w:cs="仿宋"/>
          <w:b/>
          <w:bCs/>
          <w:color w:val="000000" w:themeColor="text1"/>
          <w:sz w:val="24"/>
          <w:szCs w:val="24"/>
          <w14:textFill>
            <w14:solidFill>
              <w14:schemeClr w14:val="tx1"/>
            </w14:solidFill>
          </w14:textFill>
        </w:rPr>
      </w:pPr>
    </w:p>
    <w:p>
      <w:pPr>
        <w:spacing w:line="360" w:lineRule="auto"/>
        <w:jc w:val="left"/>
        <w:rPr>
          <w:rFonts w:hint="eastAsia" w:ascii="仿宋" w:hAnsi="仿宋" w:eastAsia="仿宋" w:cs="仿宋"/>
          <w:b/>
          <w:bCs/>
          <w:color w:val="000000" w:themeColor="text1"/>
          <w:sz w:val="24"/>
          <w:szCs w:val="24"/>
          <w14:textFill>
            <w14:solidFill>
              <w14:schemeClr w14:val="tx1"/>
            </w14:solidFill>
          </w14:textFill>
        </w:rPr>
      </w:pPr>
    </w:p>
    <w:p>
      <w:pPr>
        <w:spacing w:line="360" w:lineRule="auto"/>
        <w:jc w:val="left"/>
        <w:rPr>
          <w:rFonts w:hint="eastAsia" w:ascii="仿宋" w:hAnsi="仿宋" w:eastAsia="仿宋" w:cs="仿宋"/>
          <w:b/>
          <w:bCs/>
          <w:color w:val="000000" w:themeColor="text1"/>
          <w:sz w:val="24"/>
          <w:szCs w:val="24"/>
          <w:highlight w:val="none"/>
          <w14:textFill>
            <w14:solidFill>
              <w14:schemeClr w14:val="tx1"/>
            </w14:solidFill>
          </w14:textFill>
        </w:rPr>
      </w:pPr>
    </w:p>
    <w:p>
      <w:pPr>
        <w:spacing w:line="72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w:t>
      </w:r>
      <w:r>
        <w:rPr>
          <w:rFonts w:hint="eastAsia" w:ascii="仿宋" w:hAnsi="仿宋" w:eastAsia="仿宋" w:cs="仿宋"/>
          <w:b/>
          <w:bCs/>
          <w:color w:val="000000" w:themeColor="text1"/>
          <w:sz w:val="28"/>
          <w:szCs w:val="28"/>
          <w:highlight w:val="none"/>
          <w:lang w:eastAsia="zh-CN"/>
          <w14:textFill>
            <w14:solidFill>
              <w14:schemeClr w14:val="tx1"/>
            </w14:solidFill>
          </w14:textFill>
        </w:rPr>
        <w:t>人</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海口市乡村振兴投资发展集团有限</w:t>
      </w:r>
      <w:r>
        <w:rPr>
          <w:rFonts w:hint="eastAsia" w:ascii="仿宋" w:hAnsi="仿宋" w:eastAsia="仿宋" w:cs="仿宋"/>
          <w:b/>
          <w:bCs/>
          <w:color w:val="000000" w:themeColor="text1"/>
          <w:sz w:val="28"/>
          <w:szCs w:val="28"/>
          <w:highlight w:val="none"/>
          <w:lang w:eastAsia="zh-CN"/>
          <w14:textFill>
            <w14:solidFill>
              <w14:schemeClr w14:val="tx1"/>
            </w14:solidFill>
          </w14:textFill>
        </w:rPr>
        <w:t>公司</w:t>
      </w:r>
    </w:p>
    <w:p>
      <w:pPr>
        <w:spacing w:line="360" w:lineRule="auto"/>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二Ο二五年四月</w:t>
      </w:r>
    </w:p>
    <w:p>
      <w:pPr>
        <w:spacing w:beforeLines="50" w:afterLines="100"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numPr>
          <w:ilvl w:val="0"/>
          <w:numId w:val="1"/>
        </w:numPr>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bookmarkStart w:id="1" w:name="_Toc455781328"/>
      <w:r>
        <w:rPr>
          <w:rFonts w:hint="eastAsia" w:ascii="仿宋" w:hAnsi="仿宋" w:eastAsia="仿宋" w:cs="仿宋"/>
          <w:b/>
          <w:color w:val="000000" w:themeColor="text1"/>
          <w:sz w:val="32"/>
          <w:szCs w:val="32"/>
          <w:highlight w:val="none"/>
          <w14:textFill>
            <w14:solidFill>
              <w14:schemeClr w14:val="tx1"/>
            </w14:solidFill>
          </w14:textFill>
        </w:rPr>
        <w:t>项目介绍</w:t>
      </w:r>
      <w:bookmarkEnd w:id="1"/>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bookmarkStart w:id="2" w:name="OLE_LINK1"/>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根据工作需要，海口市乡村振兴投资发展集团有限公司</w:t>
      </w:r>
      <w:bookmarkEnd w:id="2"/>
      <w:r>
        <w:rPr>
          <w:rFonts w:hint="eastAsia" w:ascii="仿宋" w:hAnsi="仿宋" w:eastAsia="仿宋" w:cs="仿宋"/>
          <w:b w:val="0"/>
          <w:bCs/>
          <w:color w:val="000000" w:themeColor="text1"/>
          <w:sz w:val="28"/>
          <w:szCs w:val="28"/>
          <w:lang w:val="en-US" w:eastAsia="zh-CN"/>
          <w14:textFill>
            <w14:solidFill>
              <w14:schemeClr w14:val="tx1"/>
            </w14:solidFill>
          </w14:textFill>
        </w:rPr>
        <w:t>对具备企业年金基金受托人资格的法人机构进行公开比选，诚邀企业年金受托机构参与此项目的比选。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一、采购项目名称、内容、价格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1、采购项目名称： 海口市乡村振兴投资发展集团有限公司企业年金计划受托管理机构服务采购。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2、采购项目内容：海口市乡村振兴投资发展集团有限公司企业年金受托管理服务，服务时间为三年，若合同到期双方无异议，可续签合同。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3、项目预算（最高价）：以企业年金财产净值为基数，受托管理费率不超过0.2%。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二、资格条件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1、具备国家人力资源和社会保障部认定并颁发的有效的《企业年金基金管理机构资格认证书》(资质类型:受托人)，具有企业年金基金受托人资格;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2、若为分支机构参选，则应出具针对本项目资格的授权证明(分支机构及机构总部仅允许一家报名)。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三、具体要求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1、提供企业年金基金受托机构的营业执照副本复印件、资格证书及授权证明(如有)，并加盖单位公章;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2、投标文件自行制作，密封盖章。投标文件含正本壹份，副本</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贰</w:t>
      </w:r>
      <w:r>
        <w:rPr>
          <w:rFonts w:hint="eastAsia" w:ascii="仿宋" w:hAnsi="仿宋" w:eastAsia="仿宋" w:cs="仿宋"/>
          <w:b w:val="0"/>
          <w:bCs/>
          <w:color w:val="000000" w:themeColor="text1"/>
          <w:sz w:val="28"/>
          <w:szCs w:val="28"/>
          <w:lang w:val="en-US" w:eastAsia="zh-CN"/>
          <w14:textFill>
            <w14:solidFill>
              <w14:schemeClr w14:val="tx1"/>
            </w14:solidFill>
          </w14:textFill>
        </w:rPr>
        <w:t>份，注明“正本”、“副本”字样，副本应与正本完全一致。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3、受托人应当履行下列职责：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 选择、监督、更换账户管理人、托管人、投资管理人；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 制定企业年金基金战略资产配置策略；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 根据合同对企业年金基金管理进行监督；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 根据合同收取企业和职工缴费，向受益人支付企业年金待遇，并在合同中约定具体的履行方式；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（5） 接受委托人查询，定期向委托人提交企业年金基金管理和财务会计报告。发生重大事件时，及时向委托人和有关监管部门报告；定期向有关监管部门提交开展企业年金基金受托管理业务情况的报告；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（6）按照国家规定保存与企业年金基金管理有关的记录自合同终止之日起至少15年；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（7）国家规定和合同约定的其他职责。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四、提交文件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1、提交文件截止时间</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:2025年4月16日17点00分</w:t>
      </w:r>
      <w:r>
        <w:rPr>
          <w:rFonts w:hint="eastAsia" w:ascii="仿宋" w:hAnsi="仿宋" w:eastAsia="仿宋" w:cs="仿宋"/>
          <w:b w:val="0"/>
          <w:bCs/>
          <w:color w:val="000000" w:themeColor="text1"/>
          <w:sz w:val="28"/>
          <w:szCs w:val="28"/>
          <w:lang w:val="en-US" w:eastAsia="zh-CN"/>
          <w14:textFill>
            <w14:solidFill>
              <w14:schemeClr w14:val="tx1"/>
            </w14:solidFill>
          </w14:textFill>
        </w:rPr>
        <w:t>(北京时间)，逾期不予受理。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2、联系地址:海口市秀英区南海大道266号国家高新创业孵化中心2单元8楼，联系人:黄女士，联系电话:13208915831。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五、开标时间及要求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具体开标时间另行通知，要求述标。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1、评分标准：评标小组对参选人进行综合评审，最终确定各参选人评选分数。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招标截止时间止，响应人少于3个，招标人将与响应人直接进行</w:t>
      </w:r>
      <w:r>
        <w:rPr>
          <w:rFonts w:hint="eastAsia" w:ascii="仿宋" w:hAnsi="仿宋" w:eastAsia="仿宋" w:cs="仿宋"/>
          <w:b w:val="0"/>
          <w:bCs/>
          <w:color w:val="auto"/>
          <w:sz w:val="28"/>
          <w:szCs w:val="28"/>
          <w:lang w:val="en-US" w:eastAsia="zh-CN"/>
        </w:rPr>
        <w:t>竞争性</w:t>
      </w:r>
      <w:r>
        <w:rPr>
          <w:rFonts w:hint="eastAsia" w:ascii="仿宋" w:hAnsi="仿宋" w:eastAsia="仿宋" w:cs="仿宋"/>
          <w:b w:val="0"/>
          <w:bCs/>
          <w:color w:val="auto"/>
          <w:sz w:val="28"/>
          <w:szCs w:val="28"/>
        </w:rPr>
        <w:t>谈判。</w:t>
      </w:r>
    </w:p>
    <w:p>
      <w:pPr>
        <w:keepNext w:val="0"/>
        <w:keepLines w:val="0"/>
        <w:widowControl/>
        <w:numPr>
          <w:ilvl w:val="0"/>
          <w:numId w:val="0"/>
        </w:numPr>
        <w:suppressLineNumbers w:val="0"/>
        <w:ind w:leftChars="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widowControl/>
        <w:numPr>
          <w:ilvl w:val="0"/>
          <w:numId w:val="0"/>
        </w:numPr>
        <w:suppressLineNumbers w:val="0"/>
        <w:ind w:left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 </w:t>
      </w:r>
    </w:p>
    <w:p>
      <w:pPr>
        <w:numPr>
          <w:ilvl w:val="0"/>
          <w:numId w:val="1"/>
        </w:numPr>
        <w:spacing w:line="360" w:lineRule="auto"/>
        <w:ind w:left="0" w:leftChars="0" w:firstLine="0" w:firstLineChars="0"/>
        <w:jc w:val="center"/>
        <w:outlineLvl w:val="0"/>
        <w:rPr>
          <w:rFonts w:hint="eastAsia" w:ascii="仿宋" w:hAnsi="仿宋" w:eastAsia="仿宋" w:cs="仿宋"/>
          <w:b/>
          <w:color w:val="000000" w:themeColor="text1"/>
          <w:sz w:val="32"/>
          <w:szCs w:val="32"/>
          <w:highlight w:val="none"/>
          <w14:textFill>
            <w14:solidFill>
              <w14:schemeClr w14:val="tx1"/>
            </w14:solidFill>
          </w14:textFill>
        </w:rPr>
      </w:pPr>
      <w:bookmarkStart w:id="3" w:name="_Toc455781330"/>
      <w:r>
        <w:rPr>
          <w:rFonts w:hint="eastAsia" w:ascii="仿宋" w:hAnsi="仿宋" w:eastAsia="仿宋" w:cs="仿宋"/>
          <w:b/>
          <w:color w:val="000000" w:themeColor="text1"/>
          <w:sz w:val="32"/>
          <w:szCs w:val="32"/>
          <w:highlight w:val="none"/>
          <w14:textFill>
            <w14:solidFill>
              <w14:schemeClr w14:val="tx1"/>
            </w14:solidFill>
          </w14:textFill>
        </w:rPr>
        <w:t>投标文件要求</w:t>
      </w:r>
      <w:bookmarkEnd w:id="3"/>
    </w:p>
    <w:p>
      <w:pPr>
        <w:bidi w:val="0"/>
        <w:rPr>
          <w:rFonts w:hint="eastAsia"/>
        </w:rPr>
      </w:pPr>
    </w:p>
    <w:p>
      <w:pPr>
        <w:spacing w:line="24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一、投标文件构成</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1、投标函（格式见附件）；</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2、法定代表人授权书（格式见附件）；</w:t>
      </w:r>
    </w:p>
    <w:p>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、投标人资质材料：企业法人营业执照复印件、企业年金基金管理资格证书复印件（以上材料均需加盖公章）；</w:t>
      </w:r>
    </w:p>
    <w:p>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标书正文</w:t>
      </w:r>
      <w:r>
        <w:rPr>
          <w:rFonts w:hint="eastAsia" w:ascii="仿宋" w:hAnsi="仿宋" w:eastAsia="仿宋" w:cs="仿宋"/>
          <w:color w:val="000000" w:themeColor="text1"/>
          <w:sz w:val="28"/>
          <w:szCs w:val="28"/>
          <w:lang w:eastAsia="zh-CN"/>
          <w14:textFill>
            <w14:solidFill>
              <w14:schemeClr w14:val="tx1"/>
            </w14:solidFill>
          </w14:textFill>
        </w:rPr>
        <w:t>（按照评分表编制）</w:t>
      </w:r>
      <w:r>
        <w:rPr>
          <w:rFonts w:hint="eastAsia" w:ascii="仿宋" w:hAnsi="仿宋" w:eastAsia="仿宋" w:cs="仿宋"/>
          <w:color w:val="000000" w:themeColor="text1"/>
          <w:sz w:val="28"/>
          <w:szCs w:val="28"/>
          <w14:textFill>
            <w14:solidFill>
              <w14:schemeClr w14:val="tx1"/>
            </w14:solidFill>
          </w14:textFill>
        </w:rPr>
        <w:t>；</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、投标人认为必要的其他材料。</w:t>
      </w:r>
    </w:p>
    <w:p>
      <w:pPr>
        <w:spacing w:line="36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二、投标书格式要求</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1、投标文件应使用简体中文，并以人民币</w:t>
      </w:r>
      <w:r>
        <w:rPr>
          <w:rFonts w:hint="eastAsia" w:ascii="仿宋" w:hAnsi="仿宋" w:eastAsia="仿宋" w:cs="仿宋"/>
          <w:color w:val="000000" w:themeColor="text1"/>
          <w:sz w:val="28"/>
          <w:szCs w:val="28"/>
          <w:lang w:val="en-US" w:eastAsia="zh-CN"/>
          <w14:textFill>
            <w14:solidFill>
              <w14:schemeClr w14:val="tx1"/>
            </w14:solidFill>
          </w14:textFill>
        </w:rPr>
        <w:t>或费率</w:t>
      </w:r>
      <w:r>
        <w:rPr>
          <w:rFonts w:hint="eastAsia" w:ascii="仿宋" w:hAnsi="仿宋" w:eastAsia="仿宋" w:cs="仿宋"/>
          <w:color w:val="000000" w:themeColor="text1"/>
          <w:sz w:val="28"/>
          <w:szCs w:val="28"/>
          <w14:textFill>
            <w14:solidFill>
              <w14:schemeClr w14:val="tx1"/>
            </w14:solidFill>
          </w14:textFill>
        </w:rPr>
        <w:t>报价；</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2、投标文件采用A4纸编制；</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3、投标文件的内容应抓住重点、思路清晰，具备条理、同时文件意思表达必须清晰、对于招标问题必须直接正面回应；</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4、投标文件需要法定代表人或其授权代表签字并加盖公章和骑缝章；</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除投标人对错漏之处做必要修改或补充外，所递交文件中不得有随意的行间插字、涂改或增删。如确有实质问题的错漏之处需手工修改或补充，应由投标人的法定代表人或其授权人在修改或补充之处签字并加盖公章</w:t>
      </w:r>
      <w:r>
        <w:rPr>
          <w:rFonts w:hint="eastAsia" w:ascii="仿宋" w:hAnsi="仿宋" w:eastAsia="仿宋" w:cs="仿宋"/>
          <w:color w:val="000000" w:themeColor="text1"/>
          <w:sz w:val="28"/>
          <w:szCs w:val="28"/>
          <w:lang w:eastAsia="zh-CN"/>
          <w14:textFill>
            <w14:solidFill>
              <w14:schemeClr w14:val="tx1"/>
            </w14:solidFill>
          </w14:textFill>
        </w:rPr>
        <w:t>。</w:t>
      </w:r>
    </w:p>
    <w:p>
      <w:pPr>
        <w:bidi w:val="0"/>
        <w:rPr>
          <w:rFonts w:hint="eastAsia"/>
        </w:rPr>
      </w:pPr>
      <w:bookmarkStart w:id="4" w:name="_Toc455781331"/>
    </w:p>
    <w:p>
      <w:pPr>
        <w:bidi w:val="0"/>
        <w:rPr>
          <w:rFonts w:hint="eastAsia"/>
        </w:rPr>
      </w:pPr>
    </w:p>
    <w:p>
      <w:pPr>
        <w:bidi w:val="0"/>
        <w:rPr>
          <w:rFonts w:hint="eastAsia"/>
        </w:rPr>
      </w:pPr>
    </w:p>
    <w:p>
      <w:pPr>
        <w:bidi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lang w:val="en-US" w:eastAsia="zh-CN"/>
        </w:rPr>
        <w:t xml:space="preserve">                                                                                                              </w:t>
      </w:r>
    </w:p>
    <w:p>
      <w:pPr>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w:t>
      </w:r>
      <w:r>
        <w:rPr>
          <w:rFonts w:hint="eastAsia" w:ascii="仿宋" w:hAnsi="仿宋" w:eastAsia="仿宋" w:cs="仿宋"/>
          <w:b/>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b/>
          <w:color w:val="000000" w:themeColor="text1"/>
          <w:sz w:val="32"/>
          <w:szCs w:val="32"/>
          <w:highlight w:val="none"/>
          <w14:textFill>
            <w14:solidFill>
              <w14:schemeClr w14:val="tx1"/>
            </w14:solidFill>
          </w14:textFill>
        </w:rPr>
        <w:t>章 投标书内容</w:t>
      </w:r>
      <w:bookmarkEnd w:id="4"/>
    </w:p>
    <w:p>
      <w:pPr>
        <w:spacing w:line="360" w:lineRule="auto"/>
        <w:rPr>
          <w:rFonts w:hint="eastAsia" w:ascii="仿宋" w:hAnsi="仿宋" w:eastAsia="仿宋" w:cs="仿宋"/>
          <w:color w:val="000000" w:themeColor="text1"/>
          <w:sz w:val="28"/>
          <w:szCs w:val="28"/>
          <w14:textFill>
            <w14:solidFill>
              <w14:schemeClr w14:val="tx1"/>
            </w14:solidFill>
          </w14:textFill>
        </w:rPr>
      </w:pPr>
    </w:p>
    <w:p>
      <w:pPr>
        <w:numPr>
          <w:ilvl w:val="0"/>
          <w:numId w:val="2"/>
        </w:numPr>
        <w:spacing w:line="360" w:lineRule="auto"/>
        <w:ind w:left="562" w:leftChars="0" w:firstLine="0" w:firstLineChars="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技术标标书内容</w:t>
      </w:r>
    </w:p>
    <w:p>
      <w:pPr>
        <w:numPr>
          <w:ilvl w:val="0"/>
          <w:numId w:val="0"/>
        </w:numPr>
        <w:spacing w:line="360" w:lineRule="auto"/>
        <w:ind w:left="562" w:leftChars="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投标机构须</w:t>
      </w:r>
      <w:r>
        <w:rPr>
          <w:rFonts w:hint="eastAsia" w:ascii="仿宋" w:hAnsi="仿宋" w:eastAsia="仿宋" w:cs="仿宋"/>
          <w:color w:val="000000" w:themeColor="text1"/>
          <w:sz w:val="28"/>
          <w:szCs w:val="28"/>
          <w:highlight w:val="none"/>
          <w:lang w:eastAsia="zh-CN"/>
          <w14:textFill>
            <w14:solidFill>
              <w14:schemeClr w14:val="tx1"/>
            </w14:solidFill>
          </w14:textFill>
        </w:rPr>
        <w:t>根据评分表一一应答、</w:t>
      </w:r>
      <w:r>
        <w:rPr>
          <w:rFonts w:hint="eastAsia" w:ascii="仿宋" w:hAnsi="仿宋" w:eastAsia="仿宋" w:cs="仿宋"/>
          <w:color w:val="000000" w:themeColor="text1"/>
          <w:sz w:val="28"/>
          <w:szCs w:val="28"/>
          <w:highlight w:val="none"/>
          <w14:textFill>
            <w14:solidFill>
              <w14:schemeClr w14:val="tx1"/>
            </w14:solidFill>
          </w14:textFill>
        </w:rPr>
        <w:t>进行阐述，具体如下：</w:t>
      </w:r>
    </w:p>
    <w:tbl>
      <w:tblPr>
        <w:tblStyle w:val="14"/>
        <w:tblpPr w:leftFromText="180" w:rightFromText="180" w:vertAnchor="text" w:horzAnchor="page" w:tblpX="1457" w:tblpY="617"/>
        <w:tblOverlap w:val="never"/>
        <w:tblW w:w="9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810"/>
        <w:gridCol w:w="1140"/>
        <w:gridCol w:w="500"/>
        <w:gridCol w:w="5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评分因素</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5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商务评分标准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公司</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全国受托</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规模</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评分指标：至2024年末受托管理总资产，以人社部公开披露数据为依据。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2.计分规则：受托管理的企业年金总资产在全部法人受托机构中排名第1-2名的，得5分，排名3-7名的，得3分，排名7名以后的，得1分。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注：投标人需提供人社部门公布的2024年度企业年金基金数据摘要相关截图，并清晰标记。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受托业务成长性</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评分指标：2015年-2024年以来受托管理资产平均增长率，以人社部公开披露数据为依据。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2.计分规则：运作满10年机构，在全部法人受托机构中第1-2名的，得5分，排名3-7名的，得3分，排名7名以后的，运作不满10年，得1分。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FF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计算公式：</w:t>
            </w:r>
            <w:bookmarkStart w:id="5" w:name="OLE_LINK3"/>
            <w:r>
              <w:rPr>
                <w:rFonts w:hint="eastAsia" w:ascii="宋体" w:hAnsi="宋体" w:eastAsia="宋体" w:cs="宋体"/>
                <w:i w:val="0"/>
                <w:iCs w:val="0"/>
                <w:color w:val="FF0000"/>
                <w:kern w:val="0"/>
                <w:sz w:val="16"/>
                <w:szCs w:val="16"/>
                <w:u w:val="none"/>
                <w:lang w:val="en-US" w:eastAsia="zh-CN" w:bidi="ar"/>
              </w:rPr>
              <w:t>平均年增长率=[（2024年末企业年金受托管理资产规模/2023年末企业年金受托管理资产规模-1）+（2023年末企业年金受托管理资产规模/2022年末企业年金受托管理资产规模-1）+...+（2017年末企业年金受托管理资产规模/2016年末企业年金受托管理资产规模-1）+（2016年末企业年金受托管理资产规模/2015年末企业年金受托管理资产规模-1）]/9。</w:t>
            </w:r>
            <w:bookmarkEnd w:id="5"/>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注：须提供2015至2024年历年企业年金受托管理资产规模情况材料。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年金资格情况</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评分指标：投标人集团内具备年金资格数量。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2.计分规则：银行系受托人：投标人集团</w:t>
            </w:r>
            <w:r>
              <w:rPr>
                <w:rFonts w:hint="eastAsia" w:ascii="宋体" w:hAnsi="宋体" w:eastAsia="宋体" w:cs="宋体"/>
                <w:i w:val="0"/>
                <w:iCs w:val="0"/>
                <w:color w:val="auto"/>
                <w:kern w:val="0"/>
                <w:sz w:val="16"/>
                <w:szCs w:val="16"/>
                <w:u w:val="none"/>
                <w:lang w:val="en-US" w:eastAsia="zh-CN" w:bidi="ar"/>
              </w:rPr>
              <w:t>体系内具备四项年金管理资格，得5分；投标人集团体系内未具备四项年金管理资格，得2分。保险系及其他受托人：投标人集团体系内具备三项年金管理资格，得5分</w:t>
            </w:r>
            <w:r>
              <w:rPr>
                <w:rFonts w:hint="eastAsia" w:ascii="宋体" w:hAnsi="宋体" w:eastAsia="宋体" w:cs="宋体"/>
                <w:i w:val="0"/>
                <w:iCs w:val="0"/>
                <w:color w:val="000000"/>
                <w:kern w:val="0"/>
                <w:sz w:val="16"/>
                <w:szCs w:val="16"/>
                <w:u w:val="none"/>
                <w:lang w:val="en-US" w:eastAsia="zh-CN" w:bidi="ar"/>
              </w:rPr>
              <w:t xml:space="preserve">；投标人集团体系内未具备三项年金管理资格，得2分。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注：投标人需提供年金管理资格证书或批文复印件。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受托经验</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评分指标：取得受托人资格年限。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2.计分规则：1.投标人获取年金受托管理资格满十年（含），得5分；投标人获取年金受托管理资格不满十年，得2分。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注：投标人需提供年金受托管理资格证书或批文复印件并加盖投标人公章。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技术评分标准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受托管理专业能力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战略资产配置能力</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1）具备可完善的战略资产配置策略的制定流程；（2）在战略资产配置策略制定过程中有效把握长期和短期收益目标；（3）根据资本市场和监管要求的变化，具有完善的、科学的战略资产配置方案调整举措并通过案例说明战略资产配置执行跟踪、调整的情况及工作效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2.计分规则：满足以上3项，5分；满足以上2项，3分；满足以上1项，1分；其他情况不得分。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对账管人、托管人和投管人的管理监督与绩效评估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1.评分指标：（1）熟悉市场上大多数账管人、托管人及投管人资料数据，合作经验丰富；  （2）具备完善科学的选择、更换、监督和评价账管人、托管人、投资管理人的指标体系；（3）有科学的指数化工具并应用于投资、监督和评价。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2.计分规则：满足以上3项得5分；满足以上2项得3分；其他情况不得分。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投资监督能力</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是否构建完善的投资监督体系，（1）投资监督信息事项的拟定、监控和跟踪体系；投资组合的下跌预警管控体系；（2）安全垫管理机制；对产品和市场的定期分析和报告机制；（3）止损机制和策略；对信用风险研判的内部评级体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2.计分规则：满足以上3项得5分；满足以上2项得3分；其他情况不得分。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风险控制机制</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1）具有严格的风险管理制度，风险管理体系完备、组织清晰；（2）保证运营高效,建立了事前、事中和事后的运营风控制度和流程，能明确列出相关风险点及其监督防范方法；（3）具有完善的止盈止损制度，有效降低投资风险；（4）具有健全的风控部门设置、专业的风控及稽核人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2.计分规则：满足以上四项得5分；满足以上3项得3分；其他情况得1分。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受托管理经验及效果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受托人长期综合业绩</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1.评分指标：近10年（2015年-2024年）人社部披露的企业年金集合计划历年综合收益率（规模加权收益率），并计算出平均收益率。（保留小数点后两位）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2.计分规则：受托管理的企业年金集合计划加权平均收益（数据缺失年份按市场平均计算），在全部法人受托机构中排名第一的得10分，每低一个排名扣1分。                                                                    计算公式如下：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①某年度综合收益率（规模加权收益率）=∑（各集合计划资产规模*对应的集合计划的当年综合收益率）；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②近十年平均综合收益率=∑各年度综合收益/10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注：投标人需提供投标人近十年数据截图（须体现上述数据，以人社部门公布的历年度基金数据摘要为准）且正确计算平均收益率（格式自拟）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受托人中期综合业绩</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1.评分指标：近5年（2020年-2024年）人社部披露的企业年金集合计划历年综合收益率（规模加权收益率），并计算出平均收益率。（保留小数点后两位）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2.计分规则：受托管理的企业年金集合计划加权平均收益（数据缺失年份按市场平均计算），在全部法人受托机构中排名第一的得10分，每低一个排名扣1分。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计算公式如下：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①某年度综合收益率（规模加权收益率）=∑（各集合计划资产规模*对应的集合计划的当年综合收益率）；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②近五年平均综合收益率=∑各年度综合收益/5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注：投标人需提供投标人近五年数据截图（须体现上述数据，以人社部门公布的历年度基金数据摘要为准）且正确计算平均收益率（格式自拟）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投资收益稳定性</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1.评分指标：根据近10年（2015年-2024年）人社部《全国企业年金基金业务数据摘要》中披露的集合计划加权收益率（规模加权）超越历年市场水平的比较。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2.计分规则：按照超越市场平均次数在全部法人受托机构中排名，第一的得10分，每低一个排名扣1分 ，部分年份数据缺失的，按市场平均计算。                                                                                        计算公式如下：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①某年度综合收益率（规模加权收益率）=∑（各集合计划资产规模*对应的集合计划的当年综合收益率）。                                             注：投标人在投标文件中提供数据截图（须体现上述数据，以人社部门公布的历年度基金数据摘要为准）且正确计算平均收益率（格式自拟）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受托服务能力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受托管理信息系统</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评分指标：（1）投标人拥有成熟的受托管理系统，和各管理人日常运营系统对接顺畅，业务处理效率高；（2）对外可为委托人提供便捷、易操作的企业端年金自助业务办理服务；（3）支持为员工提供便捷的手机端个人年金自助服务，包含查询、自助办理待遇领取，成员转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2.计分规则：综合评分。全部满足得5分，部分满足得3分，一般的得2分。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专属服务</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方案</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1.评分指标:根据投标人提供全流程的年金管理服务，如政策咨询、年金培训，职代会宣导、方案报备、合同以及四方流程签署、账户开立、日常运营、领取税务建议与计算等服务。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2.计分规则：综合评分。很好得5分，较好得4分，一般的得3分。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专属服务</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团队</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1.评分指标：省内机构设立情况及专属服务团队成员配备情况，是否能够提供定期上门服务，是否具有明确的服务标准。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2.计分规则：综合评分。很好得5分，较好得4分，一般得3分。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增值服务</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1.评分指标：增值服务。服务项目丰富，内容详实，可以提供专为客户量身定制的增值服务。                                                          2.计分规则：服务项目丰富，内容详实，可以提供专为客户量身定制的增值服务。得4-5分；服务项目较好，基本可以满足客户的定制化需求，得2-3分；服务项目一般，可以提供较为常规的服务平台及渠道，得1分；无增值服务，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价格评分标准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管理服务费和目标值报价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受托管理费</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1.评分指标：受托合同期内每年受托管理费标准值。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2.计分规则：投标报价等于或低于评标基准价的得10分，其他报价按照下列公式计算得分： 报价得分=10-（投标报价-评标基准价）/评标基准价的公式计算得分。不符合《企业年金基金管理机构基本服务和收费标准行业自律公约》和人社相关要求的，为无效报价，得0分。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bl>
    <w:p>
      <w:pPr>
        <w:spacing w:line="360" w:lineRule="auto"/>
        <w:ind w:firstLine="560" w:firstLineChars="200"/>
        <w:rPr>
          <w:rFonts w:hint="eastAsia" w:ascii="仿宋" w:hAnsi="仿宋" w:eastAsia="仿宋" w:cs="仿宋"/>
          <w:color w:val="000000" w:themeColor="text1"/>
          <w:sz w:val="28"/>
          <w:szCs w:val="28"/>
          <w:highlight w:val="yellow"/>
          <w14:textFill>
            <w14:solidFill>
              <w14:schemeClr w14:val="tx1"/>
            </w14:solidFill>
          </w14:textFill>
        </w:rPr>
      </w:pPr>
    </w:p>
    <w:p>
      <w:pPr>
        <w:spacing w:line="360" w:lineRule="auto"/>
        <w:rPr>
          <w:rFonts w:hint="default" w:ascii="仿宋" w:hAnsi="仿宋" w:eastAsia="仿宋" w:cs="仿宋"/>
          <w:b/>
          <w:bCs/>
          <w:color w:val="000000" w:themeColor="text1"/>
          <w:sz w:val="28"/>
          <w:szCs w:val="28"/>
          <w:lang w:val="en-US"/>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   二、</w:t>
      </w:r>
      <w:r>
        <w:rPr>
          <w:rFonts w:hint="eastAsia" w:ascii="仿宋" w:hAnsi="仿宋" w:eastAsia="仿宋" w:cs="仿宋"/>
          <w:b/>
          <w:bCs/>
          <w:color w:val="000000" w:themeColor="text1"/>
          <w:sz w:val="28"/>
          <w:szCs w:val="28"/>
          <w:lang w:val="en-US" w:eastAsia="zh-CN"/>
          <w14:textFill>
            <w14:solidFill>
              <w14:schemeClr w14:val="tx1"/>
            </w14:solidFill>
          </w14:textFill>
        </w:rPr>
        <w:t>报价函格式</w:t>
      </w:r>
    </w:p>
    <w:p>
      <w:pPr>
        <w:spacing w:line="360" w:lineRule="auto"/>
        <w:ind w:right="420"/>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管理费报价函</w:t>
      </w:r>
    </w:p>
    <w:tbl>
      <w:tblPr>
        <w:tblStyle w:val="14"/>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23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项目名称</w:t>
            </w:r>
          </w:p>
        </w:tc>
        <w:tc>
          <w:tcPr>
            <w:tcW w:w="6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海口市乡村振兴投资发展集团有限公司企业年金计划受托管理机构服务采购项目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3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投标机构名称</w:t>
            </w:r>
          </w:p>
        </w:tc>
        <w:tc>
          <w:tcPr>
            <w:tcW w:w="6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3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受托管理费率</w:t>
            </w:r>
          </w:p>
        </w:tc>
        <w:tc>
          <w:tcPr>
            <w:tcW w:w="6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bl>
    <w:p>
      <w:pPr>
        <w:numPr>
          <w:ilvl w:val="0"/>
          <w:numId w:val="0"/>
        </w:num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管理费报价说明：</w:t>
      </w:r>
      <w:r>
        <w:rPr>
          <w:rFonts w:hint="eastAsia" w:ascii="仿宋" w:hAnsi="仿宋" w:eastAsia="仿宋" w:cs="仿宋"/>
          <w:color w:val="000000" w:themeColor="text1"/>
          <w:sz w:val="24"/>
          <w:szCs w:val="24"/>
          <w14:textFill>
            <w14:solidFill>
              <w14:schemeClr w14:val="tx1"/>
            </w14:solidFill>
          </w14:textFill>
        </w:rPr>
        <w:t>管理费率应是具体的数额或比例，不得是范围值。不可出现“与招标人另行商定”或类似字样。不得以折扣、折让、管理费返还或通过设立受托计划直投组合等形式变相降低报价标准</w:t>
      </w:r>
      <w:r>
        <w:rPr>
          <w:rFonts w:hint="eastAsia" w:ascii="仿宋" w:hAnsi="仿宋" w:eastAsia="仿宋" w:cs="仿宋"/>
          <w:color w:val="000000" w:themeColor="text1"/>
          <w:sz w:val="24"/>
          <w:szCs w:val="24"/>
          <w:lang w:eastAsia="zh-CN"/>
          <w14:textFill>
            <w14:solidFill>
              <w14:schemeClr w14:val="tx1"/>
            </w14:solidFill>
          </w14:textFill>
        </w:rPr>
        <w:t>。</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三、</w:t>
      </w:r>
      <w:r>
        <w:rPr>
          <w:rFonts w:hint="eastAsia" w:ascii="仿宋" w:hAnsi="仿宋" w:eastAsia="仿宋" w:cs="仿宋"/>
          <w:b/>
          <w:bCs/>
          <w:color w:val="000000" w:themeColor="text1"/>
          <w:sz w:val="28"/>
          <w:szCs w:val="28"/>
          <w14:textFill>
            <w14:solidFill>
              <w14:schemeClr w14:val="tx1"/>
            </w14:solidFill>
          </w14:textFill>
        </w:rPr>
        <w:t>投标人认为有必要提供的其他资料</w:t>
      </w: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bookmarkStart w:id="6" w:name="_Toc455781332"/>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lang w:val="en-US" w:eastAsia="zh-CN"/>
          <w14:textFill>
            <w14:solidFill>
              <w14:schemeClr w14:val="tx1"/>
            </w14:solidFill>
          </w14:textFill>
        </w:rPr>
      </w:pPr>
    </w:p>
    <w:p>
      <w:pPr>
        <w:numPr>
          <w:ilvl w:val="0"/>
          <w:numId w:val="0"/>
        </w:numPr>
        <w:spacing w:line="360" w:lineRule="auto"/>
        <w:ind w:leftChars="0" w:firstLine="1606" w:firstLineChars="500"/>
        <w:jc w:val="both"/>
        <w:outlineLvl w:val="0"/>
        <w:rPr>
          <w:rFonts w:hint="eastAsia" w:ascii="仿宋" w:hAnsi="仿宋" w:eastAsia="仿宋" w:cs="仿宋"/>
          <w:b/>
          <w:color w:val="000000" w:themeColor="text1"/>
          <w:sz w:val="32"/>
          <w:szCs w:val="32"/>
          <w14:textFill>
            <w14:solidFill>
              <w14:schemeClr w14:val="tx1"/>
            </w14:solidFill>
          </w14:textFill>
        </w:rPr>
      </w:pPr>
      <w:bookmarkStart w:id="9" w:name="_GoBack"/>
      <w:bookmarkEnd w:id="9"/>
      <w:r>
        <w:rPr>
          <w:rFonts w:hint="eastAsia" w:ascii="仿宋" w:hAnsi="仿宋" w:eastAsia="仿宋" w:cs="仿宋"/>
          <w:b/>
          <w:color w:val="000000" w:themeColor="text1"/>
          <w:sz w:val="32"/>
          <w:szCs w:val="32"/>
          <w:lang w:val="en-US" w:eastAsia="zh-CN"/>
          <w14:textFill>
            <w14:solidFill>
              <w14:schemeClr w14:val="tx1"/>
            </w14:solidFill>
          </w14:textFill>
        </w:rPr>
        <w:t xml:space="preserve">第四章 </w:t>
      </w:r>
      <w:r>
        <w:rPr>
          <w:rFonts w:hint="eastAsia" w:ascii="仿宋" w:hAnsi="仿宋" w:eastAsia="仿宋" w:cs="仿宋"/>
          <w:b/>
          <w:color w:val="000000" w:themeColor="text1"/>
          <w:sz w:val="32"/>
          <w:szCs w:val="32"/>
          <w14:textFill>
            <w14:solidFill>
              <w14:schemeClr w14:val="tx1"/>
            </w14:solidFill>
          </w14:textFill>
        </w:rPr>
        <w:t>投标文件表格样式和附表</w:t>
      </w:r>
      <w:bookmarkEnd w:id="6"/>
    </w:p>
    <w:p>
      <w:pPr>
        <w:numPr>
          <w:ilvl w:val="0"/>
          <w:numId w:val="0"/>
        </w:numPr>
        <w:spacing w:line="360" w:lineRule="auto"/>
        <w:ind w:leftChars="0"/>
        <w:jc w:val="both"/>
        <w:outlineLvl w:val="0"/>
        <w:rPr>
          <w:rFonts w:hint="eastAsia" w:ascii="仿宋" w:hAnsi="仿宋" w:eastAsia="仿宋" w:cs="仿宋"/>
          <w:b/>
          <w:color w:val="000000" w:themeColor="text1"/>
          <w:sz w:val="32"/>
          <w:szCs w:val="32"/>
          <w14:textFill>
            <w14:solidFill>
              <w14:schemeClr w14:val="tx1"/>
            </w14:solidFill>
          </w14:textFill>
        </w:rPr>
      </w:pPr>
    </w:p>
    <w:p>
      <w:pPr>
        <w:keepNext w:val="0"/>
        <w:keepLines w:val="0"/>
        <w:pageBreakBefore w:val="0"/>
        <w:widowControl w:val="0"/>
        <w:numPr>
          <w:ilvl w:val="1"/>
          <w:numId w:val="7"/>
        </w:numPr>
        <w:tabs>
          <w:tab w:val="left" w:pos="360"/>
        </w:tabs>
        <w:kinsoku/>
        <w:wordWrap/>
        <w:overflowPunct/>
        <w:topLinePunct w:val="0"/>
        <w:autoSpaceDE/>
        <w:autoSpaceDN/>
        <w:bidi w:val="0"/>
        <w:adjustRightInd/>
        <w:snapToGrid w:val="0"/>
        <w:spacing w:afterLines="50" w:line="360" w:lineRule="auto"/>
        <w:ind w:left="540" w:hanging="540"/>
        <w:textAlignment w:val="auto"/>
        <w:outlineLvl w:val="9"/>
        <w:rPr>
          <w:rFonts w:hint="eastAsia" w:ascii="仿宋" w:hAnsi="仿宋" w:eastAsia="仿宋" w:cs="仿宋"/>
          <w:b/>
          <w:bCs/>
          <w:color w:val="000000" w:themeColor="text1"/>
          <w:sz w:val="28"/>
          <w:szCs w:val="28"/>
          <w14:textFill>
            <w14:solidFill>
              <w14:schemeClr w14:val="tx1"/>
            </w14:solidFill>
          </w14:textFill>
        </w:rPr>
      </w:pPr>
      <w:bookmarkStart w:id="7" w:name="_Toc304360259"/>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：投标函</w:t>
      </w:r>
      <w:bookmarkEnd w:id="7"/>
    </w:p>
    <w:p>
      <w:pPr>
        <w:numPr>
          <w:ilvl w:val="0"/>
          <w:numId w:val="0"/>
        </w:numPr>
        <w:spacing w:line="360" w:lineRule="auto"/>
        <w:ind w:firstLine="3640" w:firstLineChars="1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投标函</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海口市乡村振兴投资发展集团有限</w:t>
      </w:r>
      <w:r>
        <w:rPr>
          <w:rFonts w:hint="eastAsia" w:ascii="仿宋" w:hAnsi="仿宋" w:eastAsia="仿宋" w:cs="仿宋"/>
          <w:color w:val="000000" w:themeColor="text1"/>
          <w:sz w:val="28"/>
          <w:szCs w:val="28"/>
          <w:lang w:eastAsia="zh-CN"/>
          <w14:textFill>
            <w14:solidFill>
              <w14:schemeClr w14:val="tx1"/>
            </w14:solidFill>
          </w14:textFill>
        </w:rPr>
        <w:t>公司</w:t>
      </w:r>
      <w:r>
        <w:rPr>
          <w:rFonts w:hint="eastAsia" w:ascii="仿宋" w:hAnsi="仿宋" w:eastAsia="仿宋" w:cs="仿宋"/>
          <w:color w:val="000000" w:themeColor="text1"/>
          <w:sz w:val="28"/>
          <w:szCs w:val="28"/>
          <w14:textFill>
            <w14:solidFill>
              <w14:schemeClr w14:val="tx1"/>
            </w14:solidFill>
          </w14:textFill>
        </w:rPr>
        <w:t>：</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一、我公司了解了竞标条件、要求以及竞标办法后，我公司决定参加</w:t>
      </w:r>
      <w:r>
        <w:rPr>
          <w:rFonts w:hint="eastAsia" w:ascii="仿宋" w:hAnsi="仿宋" w:eastAsia="仿宋" w:cs="仿宋"/>
          <w:color w:val="000000" w:themeColor="text1"/>
          <w:sz w:val="28"/>
          <w:szCs w:val="28"/>
          <w:lang w:eastAsia="zh-CN"/>
          <w14:textFill>
            <w14:solidFill>
              <w14:schemeClr w14:val="tx1"/>
            </w14:solidFill>
          </w14:textFill>
        </w:rPr>
        <w:t>贵单位</w:t>
      </w:r>
      <w:r>
        <w:rPr>
          <w:rFonts w:hint="eastAsia" w:ascii="仿宋" w:hAnsi="仿宋" w:eastAsia="仿宋" w:cs="仿宋"/>
          <w:color w:val="000000" w:themeColor="text1"/>
          <w:sz w:val="28"/>
          <w:szCs w:val="28"/>
          <w14:textFill>
            <w14:solidFill>
              <w14:schemeClr w14:val="tx1"/>
            </w14:solidFill>
          </w14:textFill>
        </w:rPr>
        <w:t>企业年金基金</w:t>
      </w:r>
      <w:r>
        <w:rPr>
          <w:rFonts w:hint="eastAsia" w:ascii="仿宋" w:hAnsi="仿宋" w:eastAsia="仿宋" w:cs="仿宋"/>
          <w:color w:val="000000" w:themeColor="text1"/>
          <w:sz w:val="28"/>
          <w:szCs w:val="28"/>
          <w:lang w:eastAsia="zh-CN"/>
          <w14:textFill>
            <w14:solidFill>
              <w14:schemeClr w14:val="tx1"/>
            </w14:solidFill>
          </w14:textFill>
        </w:rPr>
        <w:t>管理人招标项目</w:t>
      </w:r>
      <w:r>
        <w:rPr>
          <w:rFonts w:hint="eastAsia" w:ascii="仿宋" w:hAnsi="仿宋" w:eastAsia="仿宋" w:cs="仿宋"/>
          <w:color w:val="000000" w:themeColor="text1"/>
          <w:sz w:val="28"/>
          <w:szCs w:val="28"/>
          <w14:textFill>
            <w14:solidFill>
              <w14:schemeClr w14:val="tx1"/>
            </w14:solidFill>
          </w14:textFill>
        </w:rPr>
        <w:t>的竞标。</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二、我公司遵照贵方</w:t>
      </w:r>
      <w:r>
        <w:rPr>
          <w:rFonts w:hint="eastAsia" w:ascii="仿宋" w:hAnsi="仿宋" w:eastAsia="仿宋" w:cs="仿宋"/>
          <w:color w:val="000000" w:themeColor="text1"/>
          <w:sz w:val="28"/>
          <w:szCs w:val="28"/>
          <w:lang w:val="en-US" w:eastAsia="zh-CN"/>
          <w14:textFill>
            <w14:solidFill>
              <w14:schemeClr w14:val="tx1"/>
            </w14:solidFill>
          </w14:textFill>
        </w:rPr>
        <w:t>各项</w:t>
      </w:r>
      <w:r>
        <w:rPr>
          <w:rFonts w:hint="eastAsia" w:ascii="仿宋" w:hAnsi="仿宋" w:eastAsia="仿宋" w:cs="仿宋"/>
          <w:color w:val="000000" w:themeColor="text1"/>
          <w:sz w:val="28"/>
          <w:szCs w:val="28"/>
          <w14:textFill>
            <w14:solidFill>
              <w14:schemeClr w14:val="tx1"/>
            </w14:solidFill>
          </w14:textFill>
        </w:rPr>
        <w:t>要求。</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三、我方一旦中标，在签订正式合同文本之前，本投标文件、应贵方要求的补充应答（或澄清说明）、连同贵方的招标文件应成为约束我方的文件。</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四、我公司在投标过程中所了解的与</w:t>
      </w:r>
      <w:r>
        <w:rPr>
          <w:rFonts w:hint="eastAsia" w:ascii="仿宋" w:hAnsi="仿宋" w:eastAsia="仿宋" w:cs="仿宋"/>
          <w:color w:val="000000" w:themeColor="text1"/>
          <w:sz w:val="28"/>
          <w:szCs w:val="28"/>
          <w:lang w:eastAsia="zh-CN"/>
          <w14:textFill>
            <w14:solidFill>
              <w14:schemeClr w14:val="tx1"/>
            </w14:solidFill>
          </w14:textFill>
        </w:rPr>
        <w:t>贵单位</w:t>
      </w:r>
      <w:r>
        <w:rPr>
          <w:rFonts w:hint="eastAsia" w:ascii="仿宋" w:hAnsi="仿宋" w:eastAsia="仿宋" w:cs="仿宋"/>
          <w:color w:val="000000" w:themeColor="text1"/>
          <w:sz w:val="28"/>
          <w:szCs w:val="28"/>
          <w14:textFill>
            <w14:solidFill>
              <w14:schemeClr w14:val="tx1"/>
            </w14:solidFill>
          </w14:textFill>
        </w:rPr>
        <w:t>企业年金基金</w:t>
      </w:r>
      <w:r>
        <w:rPr>
          <w:rFonts w:hint="eastAsia" w:ascii="仿宋" w:hAnsi="仿宋" w:eastAsia="仿宋" w:cs="仿宋"/>
          <w:color w:val="000000" w:themeColor="text1"/>
          <w:sz w:val="28"/>
          <w:szCs w:val="28"/>
          <w:lang w:eastAsia="zh-CN"/>
          <w14:textFill>
            <w14:solidFill>
              <w14:schemeClr w14:val="tx1"/>
            </w14:solidFill>
          </w14:textFill>
        </w:rPr>
        <w:t>管理人招标项目</w:t>
      </w:r>
      <w:r>
        <w:rPr>
          <w:rFonts w:hint="eastAsia" w:ascii="仿宋" w:hAnsi="仿宋" w:eastAsia="仿宋" w:cs="仿宋"/>
          <w:color w:val="000000" w:themeColor="text1"/>
          <w:sz w:val="28"/>
          <w:szCs w:val="28"/>
          <w14:textFill>
            <w14:solidFill>
              <w14:schemeClr w14:val="tx1"/>
            </w14:solidFill>
          </w14:textFill>
        </w:rPr>
        <w:t>相关的任何信息资料，不论是何种载体或以何种方式传递的信息，仅限于本次投标所用，我公司承诺不会将此类信息用于任何与本次投标无关的用途。</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五、我公司郑重承诺向</w:t>
      </w:r>
      <w:r>
        <w:rPr>
          <w:rFonts w:hint="eastAsia" w:ascii="仿宋" w:hAnsi="仿宋" w:eastAsia="仿宋" w:cs="仿宋"/>
          <w:color w:val="000000" w:themeColor="text1"/>
          <w:sz w:val="28"/>
          <w:szCs w:val="28"/>
          <w:lang w:eastAsia="zh-CN"/>
          <w14:textFill>
            <w14:solidFill>
              <w14:schemeClr w14:val="tx1"/>
            </w14:solidFill>
          </w14:textFill>
        </w:rPr>
        <w:t>贵单位</w:t>
      </w:r>
      <w:r>
        <w:rPr>
          <w:rFonts w:hint="eastAsia" w:ascii="仿宋" w:hAnsi="仿宋" w:eastAsia="仿宋" w:cs="仿宋"/>
          <w:color w:val="000000" w:themeColor="text1"/>
          <w:sz w:val="28"/>
          <w:szCs w:val="28"/>
          <w14:textFill>
            <w14:solidFill>
              <w14:schemeClr w14:val="tx1"/>
            </w14:solidFill>
          </w14:textFill>
        </w:rPr>
        <w:t>提供的所有材料内容真实、准确，没有任何虚假、误导性陈述和记载，没有故意隐瞒与选择企业年金基金受托机构有关的重要事实。如承诺不实，我公司自动放弃参选资格，并赔偿由此给招标人企业年金基金造成的任何损失或费用。</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六、我公司也完全理解，贵方有权选择任何贵方可能收到的投标方案。</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七、我公司向招标人承诺以上条款自签署之日起生效，在参选和担任</w:t>
      </w:r>
      <w:r>
        <w:rPr>
          <w:rFonts w:hint="eastAsia" w:ascii="仿宋" w:hAnsi="仿宋" w:eastAsia="仿宋" w:cs="仿宋"/>
          <w:color w:val="000000" w:themeColor="text1"/>
          <w:sz w:val="28"/>
          <w:szCs w:val="28"/>
          <w:lang w:eastAsia="zh-CN"/>
          <w14:textFill>
            <w14:solidFill>
              <w14:schemeClr w14:val="tx1"/>
            </w14:solidFill>
          </w14:textFill>
        </w:rPr>
        <w:t>XX公司</w:t>
      </w:r>
      <w:r>
        <w:rPr>
          <w:rFonts w:hint="eastAsia" w:ascii="仿宋" w:hAnsi="仿宋" w:eastAsia="仿宋" w:cs="仿宋"/>
          <w:color w:val="000000" w:themeColor="text1"/>
          <w:sz w:val="28"/>
          <w:szCs w:val="28"/>
          <w14:textFill>
            <w14:solidFill>
              <w14:schemeClr w14:val="tx1"/>
            </w14:solidFill>
          </w14:textFill>
        </w:rPr>
        <w:t>企业年金基金</w:t>
      </w:r>
      <w:r>
        <w:rPr>
          <w:rFonts w:hint="eastAsia" w:ascii="仿宋" w:hAnsi="仿宋" w:eastAsia="仿宋" w:cs="仿宋"/>
          <w:color w:val="000000" w:themeColor="text1"/>
          <w:sz w:val="28"/>
          <w:szCs w:val="28"/>
          <w:lang w:eastAsia="zh-CN"/>
          <w14:textFill>
            <w14:solidFill>
              <w14:schemeClr w14:val="tx1"/>
            </w14:solidFill>
          </w14:textFill>
        </w:rPr>
        <w:t>管理</w:t>
      </w:r>
      <w:r>
        <w:rPr>
          <w:rFonts w:hint="eastAsia" w:ascii="仿宋" w:hAnsi="仿宋" w:eastAsia="仿宋" w:cs="仿宋"/>
          <w:color w:val="000000" w:themeColor="text1"/>
          <w:sz w:val="28"/>
          <w:szCs w:val="28"/>
          <w14:textFill>
            <w14:solidFill>
              <w14:schemeClr w14:val="tx1"/>
            </w14:solidFill>
          </w14:textFill>
        </w:rPr>
        <w:t>机构期间持续有效。</w:t>
      </w:r>
    </w:p>
    <w:p>
      <w:pPr>
        <w:numPr>
          <w:ilvl w:val="0"/>
          <w:numId w:val="0"/>
        </w:numPr>
        <w:spacing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（以下无正文）</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（公章）</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授权代表签字：</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w:t>
      </w:r>
      <w:bookmarkStart w:id="8" w:name="_Toc304360260"/>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tabs>
          <w:tab w:val="left" w:pos="360"/>
        </w:tabs>
        <w:spacing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：法定代表人授权书</w:t>
      </w:r>
      <w:bookmarkEnd w:id="8"/>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法定代表人授权书</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海口市乡村振兴投资发展集团有限</w:t>
      </w:r>
      <w:r>
        <w:rPr>
          <w:rFonts w:hint="eastAsia" w:ascii="仿宋" w:hAnsi="仿宋" w:eastAsia="仿宋" w:cs="仿宋"/>
          <w:color w:val="000000" w:themeColor="text1"/>
          <w:sz w:val="28"/>
          <w:szCs w:val="28"/>
          <w:lang w:eastAsia="zh-CN"/>
          <w14:textFill>
            <w14:solidFill>
              <w14:schemeClr w14:val="tx1"/>
            </w14:solidFill>
          </w14:textFill>
        </w:rPr>
        <w:t>公司</w:t>
      </w:r>
      <w:r>
        <w:rPr>
          <w:rFonts w:hint="eastAsia" w:ascii="仿宋" w:hAnsi="仿宋" w:eastAsia="仿宋" w:cs="仿宋"/>
          <w:color w:val="000000" w:themeColor="text1"/>
          <w:sz w:val="28"/>
          <w:szCs w:val="28"/>
          <w14:textFill>
            <w14:solidFill>
              <w14:schemeClr w14:val="tx1"/>
            </w14:solidFill>
          </w14:textFill>
        </w:rPr>
        <w:t>：</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本授权书声明： _____________公司是中华人民共和国合法企业，_____________（法定代表人姓名、职务）代表本公司授权_____________ （公司名称）_____________（职务）_____________（姓名）_____________（身份证号）为正式的合法代理人，并授权该代理人在有关_____________项目的工作中，以投标方的名义签署投标书、进行投标、签署合同并处理与此有关的一切事务。</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本授权自_____年_____月_____日起生效,除我公司另行通知取消授权外,有效期180日。被授权人无权转委</w:t>
      </w:r>
      <w:r>
        <w:rPr>
          <w:rFonts w:hint="eastAsia" w:ascii="仿宋" w:hAnsi="仿宋" w:eastAsia="仿宋" w:cs="仿宋"/>
          <w:color w:val="000000" w:themeColor="text1"/>
          <w:sz w:val="28"/>
          <w:szCs w:val="28"/>
          <w:lang w:eastAsia="zh-CN"/>
          <w14:textFill>
            <w14:solidFill>
              <w14:schemeClr w14:val="tx1"/>
            </w14:solidFill>
          </w14:textFill>
        </w:rPr>
        <w:t>托</w:t>
      </w:r>
      <w:r>
        <w:rPr>
          <w:rFonts w:hint="eastAsia" w:ascii="仿宋" w:hAnsi="仿宋" w:eastAsia="仿宋" w:cs="仿宋"/>
          <w:color w:val="000000" w:themeColor="text1"/>
          <w:sz w:val="28"/>
          <w:szCs w:val="28"/>
          <w14:textFill>
            <w14:solidFill>
              <w14:schemeClr w14:val="tx1"/>
            </w14:solidFill>
          </w14:textFill>
        </w:rPr>
        <w:t>，特此声明。</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法定代表人（签章）：                  </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职   务：  </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被授权人（签章）：                  </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职   务： </w:t>
      </w:r>
    </w:p>
    <w:p>
      <w:pPr>
        <w:numPr>
          <w:ilvl w:val="0"/>
          <w:numId w:val="0"/>
        </w:num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numPr>
          <w:ilvl w:val="0"/>
          <w:numId w:val="0"/>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    期：     年   月   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Segoe Print"/>
    <w:panose1 w:val="02040503050406030204"/>
    <w:charset w:val="00"/>
    <w:family w:val="roman"/>
    <w:pitch w:val="default"/>
    <w:sig w:usb0="00000000" w:usb1="00000000" w:usb2="02000000" w:usb3="00000000" w:csb0="2000019F" w:csb1="00000000"/>
  </w:font>
  <w:font w:name="Calibri Light">
    <w:altName w:val="Segoe Print"/>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280880"/>
    </w:sdtPr>
    <w:sdtContent>
      <w:p>
        <w:pPr>
          <w:pStyle w:val="9"/>
          <w:jc w:val="center"/>
        </w:pPr>
        <w:r>
          <w:fldChar w:fldCharType="begin"/>
        </w:r>
        <w:r>
          <w:instrText xml:space="preserve">PAGE   \* MERGEFORMAT</w:instrText>
        </w:r>
        <w:r>
          <w:fldChar w:fldCharType="separate"/>
        </w:r>
        <w:r>
          <w:rPr>
            <w:lang w:val="zh-CN"/>
          </w:rPr>
          <w:t>11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BCBCB"/>
    <w:multiLevelType w:val="singleLevel"/>
    <w:tmpl w:val="8F7BCBCB"/>
    <w:lvl w:ilvl="0" w:tentative="0">
      <w:start w:val="1"/>
      <w:numFmt w:val="decimal"/>
      <w:lvlText w:val="%1."/>
      <w:lvlJc w:val="left"/>
      <w:pPr>
        <w:tabs>
          <w:tab w:val="left" w:pos="312"/>
        </w:tabs>
      </w:pPr>
    </w:lvl>
  </w:abstractNum>
  <w:abstractNum w:abstractNumId="1">
    <w:nsid w:val="9CEE13F9"/>
    <w:multiLevelType w:val="singleLevel"/>
    <w:tmpl w:val="9CEE13F9"/>
    <w:lvl w:ilvl="0" w:tentative="0">
      <w:start w:val="1"/>
      <w:numFmt w:val="decimal"/>
      <w:lvlText w:val="%1."/>
      <w:lvlJc w:val="left"/>
      <w:pPr>
        <w:tabs>
          <w:tab w:val="left" w:pos="312"/>
        </w:tabs>
      </w:pPr>
    </w:lvl>
  </w:abstractNum>
  <w:abstractNum w:abstractNumId="2">
    <w:nsid w:val="9F7009EB"/>
    <w:multiLevelType w:val="singleLevel"/>
    <w:tmpl w:val="9F7009EB"/>
    <w:lvl w:ilvl="0" w:tentative="0">
      <w:start w:val="1"/>
      <w:numFmt w:val="decimal"/>
      <w:lvlText w:val="%1."/>
      <w:lvlJc w:val="left"/>
      <w:pPr>
        <w:tabs>
          <w:tab w:val="left" w:pos="312"/>
        </w:tabs>
      </w:pPr>
    </w:lvl>
  </w:abstractNum>
  <w:abstractNum w:abstractNumId="3">
    <w:nsid w:val="A25E77F5"/>
    <w:multiLevelType w:val="singleLevel"/>
    <w:tmpl w:val="A25E77F5"/>
    <w:lvl w:ilvl="0" w:tentative="0">
      <w:start w:val="1"/>
      <w:numFmt w:val="chineseCounting"/>
      <w:suff w:val="nothing"/>
      <w:lvlText w:val="%1、"/>
      <w:lvlJc w:val="left"/>
      <w:pPr>
        <w:ind w:left="562" w:leftChars="0" w:firstLine="0" w:firstLineChars="0"/>
      </w:pPr>
      <w:rPr>
        <w:rFonts w:hint="eastAsia"/>
      </w:rPr>
    </w:lvl>
  </w:abstractNum>
  <w:abstractNum w:abstractNumId="4">
    <w:nsid w:val="BC0FB8AB"/>
    <w:multiLevelType w:val="singleLevel"/>
    <w:tmpl w:val="BC0FB8AB"/>
    <w:lvl w:ilvl="0" w:tentative="0">
      <w:start w:val="1"/>
      <w:numFmt w:val="decimal"/>
      <w:lvlText w:val="%1."/>
      <w:lvlJc w:val="left"/>
      <w:pPr>
        <w:tabs>
          <w:tab w:val="left" w:pos="312"/>
        </w:tabs>
      </w:pPr>
    </w:lvl>
  </w:abstractNum>
  <w:abstractNum w:abstractNumId="5">
    <w:nsid w:val="CB87E393"/>
    <w:multiLevelType w:val="singleLevel"/>
    <w:tmpl w:val="CB87E393"/>
    <w:lvl w:ilvl="0" w:tentative="0">
      <w:start w:val="1"/>
      <w:numFmt w:val="chineseCounting"/>
      <w:suff w:val="space"/>
      <w:lvlText w:val="第%1章"/>
      <w:lvlJc w:val="left"/>
      <w:rPr>
        <w:rFonts w:hint="eastAsia"/>
      </w:rPr>
    </w:lvl>
  </w:abstractNum>
  <w:abstractNum w:abstractNumId="6">
    <w:nsid w:val="63B26016"/>
    <w:multiLevelType w:val="multilevel"/>
    <w:tmpl w:val="63B26016"/>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jQwOWRlNGM4ZjA5NDRlNmUzMGUzMDRjMDI4NjQifQ=="/>
    <w:docVar w:name="KSO_WPS_MARK_KEY" w:val="33977b9b-927d-4bbd-b97f-fab35b885eca"/>
  </w:docVars>
  <w:rsids>
    <w:rsidRoot w:val="00C3633B"/>
    <w:rsid w:val="000027EA"/>
    <w:rsid w:val="000142AD"/>
    <w:rsid w:val="00016033"/>
    <w:rsid w:val="0002239A"/>
    <w:rsid w:val="000319C8"/>
    <w:rsid w:val="00036B02"/>
    <w:rsid w:val="00037393"/>
    <w:rsid w:val="00040A68"/>
    <w:rsid w:val="00041877"/>
    <w:rsid w:val="0004711C"/>
    <w:rsid w:val="00055A22"/>
    <w:rsid w:val="00060EFD"/>
    <w:rsid w:val="00062BB6"/>
    <w:rsid w:val="00072F66"/>
    <w:rsid w:val="00073720"/>
    <w:rsid w:val="00084169"/>
    <w:rsid w:val="0008529B"/>
    <w:rsid w:val="00091541"/>
    <w:rsid w:val="000A3CBD"/>
    <w:rsid w:val="000B26F5"/>
    <w:rsid w:val="000D4626"/>
    <w:rsid w:val="000D6CA5"/>
    <w:rsid w:val="000E7906"/>
    <w:rsid w:val="000F4641"/>
    <w:rsid w:val="000F5BE8"/>
    <w:rsid w:val="000F7871"/>
    <w:rsid w:val="00103B48"/>
    <w:rsid w:val="00105FD1"/>
    <w:rsid w:val="0011036A"/>
    <w:rsid w:val="001218E4"/>
    <w:rsid w:val="00135BBB"/>
    <w:rsid w:val="00137AA9"/>
    <w:rsid w:val="00152F96"/>
    <w:rsid w:val="001562F5"/>
    <w:rsid w:val="001665AF"/>
    <w:rsid w:val="00166C3A"/>
    <w:rsid w:val="001678C1"/>
    <w:rsid w:val="00173A16"/>
    <w:rsid w:val="00176ED8"/>
    <w:rsid w:val="0017738C"/>
    <w:rsid w:val="00177549"/>
    <w:rsid w:val="00180117"/>
    <w:rsid w:val="00181E1D"/>
    <w:rsid w:val="00196D08"/>
    <w:rsid w:val="00197C01"/>
    <w:rsid w:val="001C20A3"/>
    <w:rsid w:val="001C27BF"/>
    <w:rsid w:val="001E43D1"/>
    <w:rsid w:val="001E655D"/>
    <w:rsid w:val="001F29A2"/>
    <w:rsid w:val="002262C8"/>
    <w:rsid w:val="00231838"/>
    <w:rsid w:val="002320C8"/>
    <w:rsid w:val="002346DD"/>
    <w:rsid w:val="002354BC"/>
    <w:rsid w:val="00250F76"/>
    <w:rsid w:val="0026009E"/>
    <w:rsid w:val="00263593"/>
    <w:rsid w:val="00266B92"/>
    <w:rsid w:val="0026731A"/>
    <w:rsid w:val="002778E9"/>
    <w:rsid w:val="002902BC"/>
    <w:rsid w:val="00290DF1"/>
    <w:rsid w:val="00293650"/>
    <w:rsid w:val="002B0376"/>
    <w:rsid w:val="002C1122"/>
    <w:rsid w:val="002D0C49"/>
    <w:rsid w:val="002E0F5A"/>
    <w:rsid w:val="00300E45"/>
    <w:rsid w:val="00306060"/>
    <w:rsid w:val="00310A36"/>
    <w:rsid w:val="003134DA"/>
    <w:rsid w:val="00333BBF"/>
    <w:rsid w:val="00333E76"/>
    <w:rsid w:val="00335996"/>
    <w:rsid w:val="003603EB"/>
    <w:rsid w:val="00363F90"/>
    <w:rsid w:val="00366F57"/>
    <w:rsid w:val="00371A35"/>
    <w:rsid w:val="003765B9"/>
    <w:rsid w:val="00377114"/>
    <w:rsid w:val="00380AE2"/>
    <w:rsid w:val="0038109A"/>
    <w:rsid w:val="00381254"/>
    <w:rsid w:val="003917C9"/>
    <w:rsid w:val="00391A3F"/>
    <w:rsid w:val="003A2C38"/>
    <w:rsid w:val="003A73EA"/>
    <w:rsid w:val="003B2C1B"/>
    <w:rsid w:val="003B6E6D"/>
    <w:rsid w:val="003D1F74"/>
    <w:rsid w:val="003D5380"/>
    <w:rsid w:val="003E25BD"/>
    <w:rsid w:val="003E5A82"/>
    <w:rsid w:val="003E6A18"/>
    <w:rsid w:val="003E6D53"/>
    <w:rsid w:val="003F70C7"/>
    <w:rsid w:val="004044FF"/>
    <w:rsid w:val="00410D27"/>
    <w:rsid w:val="004156F6"/>
    <w:rsid w:val="00425603"/>
    <w:rsid w:val="0045494F"/>
    <w:rsid w:val="00455A92"/>
    <w:rsid w:val="004561A0"/>
    <w:rsid w:val="00457692"/>
    <w:rsid w:val="00462CB1"/>
    <w:rsid w:val="00463A93"/>
    <w:rsid w:val="00464BB5"/>
    <w:rsid w:val="00470DF7"/>
    <w:rsid w:val="00472A54"/>
    <w:rsid w:val="00481707"/>
    <w:rsid w:val="00486DA0"/>
    <w:rsid w:val="00490C6E"/>
    <w:rsid w:val="00496F8D"/>
    <w:rsid w:val="004A50AF"/>
    <w:rsid w:val="004A731E"/>
    <w:rsid w:val="004B15D3"/>
    <w:rsid w:val="004B5015"/>
    <w:rsid w:val="004C4E9B"/>
    <w:rsid w:val="004D1B3B"/>
    <w:rsid w:val="004D7438"/>
    <w:rsid w:val="004D7E0A"/>
    <w:rsid w:val="004F19A1"/>
    <w:rsid w:val="004F22E4"/>
    <w:rsid w:val="0050054D"/>
    <w:rsid w:val="005079C1"/>
    <w:rsid w:val="00510917"/>
    <w:rsid w:val="00510EA9"/>
    <w:rsid w:val="00532F68"/>
    <w:rsid w:val="00533D91"/>
    <w:rsid w:val="00537659"/>
    <w:rsid w:val="005427AE"/>
    <w:rsid w:val="00543001"/>
    <w:rsid w:val="005432C1"/>
    <w:rsid w:val="00550070"/>
    <w:rsid w:val="005713A3"/>
    <w:rsid w:val="005874E1"/>
    <w:rsid w:val="00587B1E"/>
    <w:rsid w:val="005B69C1"/>
    <w:rsid w:val="005C1F9C"/>
    <w:rsid w:val="005C1FD5"/>
    <w:rsid w:val="005E0F05"/>
    <w:rsid w:val="005E1F10"/>
    <w:rsid w:val="005E7A86"/>
    <w:rsid w:val="005F0C65"/>
    <w:rsid w:val="005F48F2"/>
    <w:rsid w:val="0061090F"/>
    <w:rsid w:val="00614273"/>
    <w:rsid w:val="00615F84"/>
    <w:rsid w:val="00621FF5"/>
    <w:rsid w:val="0062303C"/>
    <w:rsid w:val="0062612D"/>
    <w:rsid w:val="006261DA"/>
    <w:rsid w:val="00640F4D"/>
    <w:rsid w:val="00650232"/>
    <w:rsid w:val="00654BE2"/>
    <w:rsid w:val="006571C4"/>
    <w:rsid w:val="00661998"/>
    <w:rsid w:val="006706D5"/>
    <w:rsid w:val="006732BB"/>
    <w:rsid w:val="00677C37"/>
    <w:rsid w:val="00680660"/>
    <w:rsid w:val="00680D5B"/>
    <w:rsid w:val="00683710"/>
    <w:rsid w:val="00687AE8"/>
    <w:rsid w:val="00687F2E"/>
    <w:rsid w:val="006A7044"/>
    <w:rsid w:val="006B1013"/>
    <w:rsid w:val="006C1A44"/>
    <w:rsid w:val="006C392D"/>
    <w:rsid w:val="006D2F0D"/>
    <w:rsid w:val="006D3490"/>
    <w:rsid w:val="006D56FC"/>
    <w:rsid w:val="006E1CDC"/>
    <w:rsid w:val="006E61CD"/>
    <w:rsid w:val="006E6D23"/>
    <w:rsid w:val="006F5BEB"/>
    <w:rsid w:val="006F7866"/>
    <w:rsid w:val="00704AFA"/>
    <w:rsid w:val="007070ED"/>
    <w:rsid w:val="00714805"/>
    <w:rsid w:val="00716A79"/>
    <w:rsid w:val="007318F2"/>
    <w:rsid w:val="00737F8A"/>
    <w:rsid w:val="00762DF6"/>
    <w:rsid w:val="00763F5E"/>
    <w:rsid w:val="00766D0B"/>
    <w:rsid w:val="007709A4"/>
    <w:rsid w:val="0077449D"/>
    <w:rsid w:val="0079210E"/>
    <w:rsid w:val="0079738A"/>
    <w:rsid w:val="007A02B6"/>
    <w:rsid w:val="007A0683"/>
    <w:rsid w:val="007A42CC"/>
    <w:rsid w:val="007C48DB"/>
    <w:rsid w:val="007D0912"/>
    <w:rsid w:val="007D1BC6"/>
    <w:rsid w:val="007D3662"/>
    <w:rsid w:val="007E0484"/>
    <w:rsid w:val="007E3306"/>
    <w:rsid w:val="007E695B"/>
    <w:rsid w:val="007F2145"/>
    <w:rsid w:val="008008C8"/>
    <w:rsid w:val="0080227E"/>
    <w:rsid w:val="00803498"/>
    <w:rsid w:val="008117B5"/>
    <w:rsid w:val="00813FA2"/>
    <w:rsid w:val="00825B51"/>
    <w:rsid w:val="008263F2"/>
    <w:rsid w:val="00850F51"/>
    <w:rsid w:val="00852C88"/>
    <w:rsid w:val="00863A26"/>
    <w:rsid w:val="00873656"/>
    <w:rsid w:val="00875060"/>
    <w:rsid w:val="00876C9B"/>
    <w:rsid w:val="0088033B"/>
    <w:rsid w:val="00887EE2"/>
    <w:rsid w:val="00890439"/>
    <w:rsid w:val="00895D49"/>
    <w:rsid w:val="00897612"/>
    <w:rsid w:val="008A3BB1"/>
    <w:rsid w:val="008A66B7"/>
    <w:rsid w:val="008B0655"/>
    <w:rsid w:val="008B589D"/>
    <w:rsid w:val="008C0B4F"/>
    <w:rsid w:val="008C35BA"/>
    <w:rsid w:val="008C6481"/>
    <w:rsid w:val="008D27DE"/>
    <w:rsid w:val="008D48D5"/>
    <w:rsid w:val="008D6F20"/>
    <w:rsid w:val="008E61B7"/>
    <w:rsid w:val="008E7FFA"/>
    <w:rsid w:val="00910783"/>
    <w:rsid w:val="00913DD9"/>
    <w:rsid w:val="00922E56"/>
    <w:rsid w:val="009316EC"/>
    <w:rsid w:val="00935463"/>
    <w:rsid w:val="00935F1D"/>
    <w:rsid w:val="00936C8A"/>
    <w:rsid w:val="00941837"/>
    <w:rsid w:val="00956DD9"/>
    <w:rsid w:val="00956EA6"/>
    <w:rsid w:val="00977ABC"/>
    <w:rsid w:val="009801D8"/>
    <w:rsid w:val="009804B9"/>
    <w:rsid w:val="009827D9"/>
    <w:rsid w:val="0098601D"/>
    <w:rsid w:val="009922F5"/>
    <w:rsid w:val="009A0814"/>
    <w:rsid w:val="009A0CA2"/>
    <w:rsid w:val="009C5BAC"/>
    <w:rsid w:val="009C7929"/>
    <w:rsid w:val="009E2442"/>
    <w:rsid w:val="009E3BFC"/>
    <w:rsid w:val="009F52DA"/>
    <w:rsid w:val="00A069F1"/>
    <w:rsid w:val="00A1059A"/>
    <w:rsid w:val="00A111A0"/>
    <w:rsid w:val="00A22B9B"/>
    <w:rsid w:val="00A25EED"/>
    <w:rsid w:val="00A324E0"/>
    <w:rsid w:val="00A33687"/>
    <w:rsid w:val="00A35203"/>
    <w:rsid w:val="00A4643C"/>
    <w:rsid w:val="00A47D47"/>
    <w:rsid w:val="00A54E1F"/>
    <w:rsid w:val="00A57F0C"/>
    <w:rsid w:val="00A60082"/>
    <w:rsid w:val="00A6695C"/>
    <w:rsid w:val="00A67300"/>
    <w:rsid w:val="00A7597B"/>
    <w:rsid w:val="00A765D3"/>
    <w:rsid w:val="00A80621"/>
    <w:rsid w:val="00A80F25"/>
    <w:rsid w:val="00A87EBE"/>
    <w:rsid w:val="00AB1A0E"/>
    <w:rsid w:val="00AB2DEF"/>
    <w:rsid w:val="00AB67B2"/>
    <w:rsid w:val="00AC1980"/>
    <w:rsid w:val="00AC6B8F"/>
    <w:rsid w:val="00AD3687"/>
    <w:rsid w:val="00AD67AF"/>
    <w:rsid w:val="00AE00F9"/>
    <w:rsid w:val="00AE3C20"/>
    <w:rsid w:val="00AE4746"/>
    <w:rsid w:val="00B002E9"/>
    <w:rsid w:val="00B11C34"/>
    <w:rsid w:val="00B11D6B"/>
    <w:rsid w:val="00B14726"/>
    <w:rsid w:val="00B3497B"/>
    <w:rsid w:val="00B36A2A"/>
    <w:rsid w:val="00B56CE7"/>
    <w:rsid w:val="00B637B8"/>
    <w:rsid w:val="00B7070F"/>
    <w:rsid w:val="00B86528"/>
    <w:rsid w:val="00BA03B5"/>
    <w:rsid w:val="00BA0D21"/>
    <w:rsid w:val="00BA10B4"/>
    <w:rsid w:val="00BA1689"/>
    <w:rsid w:val="00BA6AC1"/>
    <w:rsid w:val="00BB25FC"/>
    <w:rsid w:val="00BB513C"/>
    <w:rsid w:val="00BD10A6"/>
    <w:rsid w:val="00BD1D06"/>
    <w:rsid w:val="00BD391A"/>
    <w:rsid w:val="00BD55E3"/>
    <w:rsid w:val="00BD60B6"/>
    <w:rsid w:val="00BE3796"/>
    <w:rsid w:val="00BE3B4C"/>
    <w:rsid w:val="00BE6EF3"/>
    <w:rsid w:val="00BF0A27"/>
    <w:rsid w:val="00BF6ED8"/>
    <w:rsid w:val="00C01B5B"/>
    <w:rsid w:val="00C02585"/>
    <w:rsid w:val="00C0417D"/>
    <w:rsid w:val="00C06CAA"/>
    <w:rsid w:val="00C20B6C"/>
    <w:rsid w:val="00C20E3F"/>
    <w:rsid w:val="00C26ADC"/>
    <w:rsid w:val="00C26BEC"/>
    <w:rsid w:val="00C31E18"/>
    <w:rsid w:val="00C35030"/>
    <w:rsid w:val="00C357FC"/>
    <w:rsid w:val="00C3633B"/>
    <w:rsid w:val="00C421B7"/>
    <w:rsid w:val="00C42A37"/>
    <w:rsid w:val="00C466EF"/>
    <w:rsid w:val="00C522CF"/>
    <w:rsid w:val="00C52D31"/>
    <w:rsid w:val="00C5365A"/>
    <w:rsid w:val="00C56442"/>
    <w:rsid w:val="00C604CC"/>
    <w:rsid w:val="00C6071F"/>
    <w:rsid w:val="00C65F70"/>
    <w:rsid w:val="00C66749"/>
    <w:rsid w:val="00C76632"/>
    <w:rsid w:val="00C80ECB"/>
    <w:rsid w:val="00CA3905"/>
    <w:rsid w:val="00CD4978"/>
    <w:rsid w:val="00CF0384"/>
    <w:rsid w:val="00D0511B"/>
    <w:rsid w:val="00D154DF"/>
    <w:rsid w:val="00D201C2"/>
    <w:rsid w:val="00D21473"/>
    <w:rsid w:val="00D26D0C"/>
    <w:rsid w:val="00D37691"/>
    <w:rsid w:val="00D40EE4"/>
    <w:rsid w:val="00D415AC"/>
    <w:rsid w:val="00D50071"/>
    <w:rsid w:val="00D50684"/>
    <w:rsid w:val="00D547AC"/>
    <w:rsid w:val="00D554B4"/>
    <w:rsid w:val="00D72D12"/>
    <w:rsid w:val="00D87F06"/>
    <w:rsid w:val="00DA0AB6"/>
    <w:rsid w:val="00DA21AC"/>
    <w:rsid w:val="00DA270D"/>
    <w:rsid w:val="00DB0A40"/>
    <w:rsid w:val="00DB37AD"/>
    <w:rsid w:val="00DC186D"/>
    <w:rsid w:val="00DC3384"/>
    <w:rsid w:val="00DC6313"/>
    <w:rsid w:val="00DD1402"/>
    <w:rsid w:val="00DD3215"/>
    <w:rsid w:val="00DE2D4C"/>
    <w:rsid w:val="00DE72FC"/>
    <w:rsid w:val="00DF43A3"/>
    <w:rsid w:val="00DF4C01"/>
    <w:rsid w:val="00E008D0"/>
    <w:rsid w:val="00E0351F"/>
    <w:rsid w:val="00E10A45"/>
    <w:rsid w:val="00E212F4"/>
    <w:rsid w:val="00E34A39"/>
    <w:rsid w:val="00E3652A"/>
    <w:rsid w:val="00E36974"/>
    <w:rsid w:val="00E37717"/>
    <w:rsid w:val="00E5355C"/>
    <w:rsid w:val="00E57FB7"/>
    <w:rsid w:val="00E609FE"/>
    <w:rsid w:val="00E61817"/>
    <w:rsid w:val="00E67DD2"/>
    <w:rsid w:val="00E931DF"/>
    <w:rsid w:val="00E9583E"/>
    <w:rsid w:val="00EA6271"/>
    <w:rsid w:val="00EA6AF9"/>
    <w:rsid w:val="00EB0351"/>
    <w:rsid w:val="00EB36AB"/>
    <w:rsid w:val="00EB37C2"/>
    <w:rsid w:val="00EC4DF2"/>
    <w:rsid w:val="00ED0F6B"/>
    <w:rsid w:val="00ED29F6"/>
    <w:rsid w:val="00ED3852"/>
    <w:rsid w:val="00ED7FA6"/>
    <w:rsid w:val="00EF1A1E"/>
    <w:rsid w:val="00EF32A8"/>
    <w:rsid w:val="00F00A48"/>
    <w:rsid w:val="00F026C1"/>
    <w:rsid w:val="00F24FB6"/>
    <w:rsid w:val="00F301E9"/>
    <w:rsid w:val="00F3595D"/>
    <w:rsid w:val="00F461AD"/>
    <w:rsid w:val="00F50D64"/>
    <w:rsid w:val="00F52940"/>
    <w:rsid w:val="00F5543F"/>
    <w:rsid w:val="00F60D23"/>
    <w:rsid w:val="00F74811"/>
    <w:rsid w:val="00F7483A"/>
    <w:rsid w:val="00F74897"/>
    <w:rsid w:val="00F77C0B"/>
    <w:rsid w:val="00F8027C"/>
    <w:rsid w:val="00F873BC"/>
    <w:rsid w:val="00F95FAC"/>
    <w:rsid w:val="00FA069F"/>
    <w:rsid w:val="00FA0ACA"/>
    <w:rsid w:val="00FA1399"/>
    <w:rsid w:val="00FA52FA"/>
    <w:rsid w:val="00FA6448"/>
    <w:rsid w:val="00FA6BA5"/>
    <w:rsid w:val="00FB1A32"/>
    <w:rsid w:val="00FB6E6A"/>
    <w:rsid w:val="00FC172E"/>
    <w:rsid w:val="00FC1830"/>
    <w:rsid w:val="00FE2131"/>
    <w:rsid w:val="00FF0AD8"/>
    <w:rsid w:val="00FF0E76"/>
    <w:rsid w:val="00FF1BFF"/>
    <w:rsid w:val="00FF3422"/>
    <w:rsid w:val="03395441"/>
    <w:rsid w:val="05133884"/>
    <w:rsid w:val="06750027"/>
    <w:rsid w:val="078403CE"/>
    <w:rsid w:val="088272FC"/>
    <w:rsid w:val="0BF83BC6"/>
    <w:rsid w:val="0DC61A39"/>
    <w:rsid w:val="0E5605A8"/>
    <w:rsid w:val="10076782"/>
    <w:rsid w:val="10805706"/>
    <w:rsid w:val="111900F3"/>
    <w:rsid w:val="11FA160D"/>
    <w:rsid w:val="122942B9"/>
    <w:rsid w:val="13246E38"/>
    <w:rsid w:val="13437B99"/>
    <w:rsid w:val="145A6BDE"/>
    <w:rsid w:val="149E7662"/>
    <w:rsid w:val="16DA02E0"/>
    <w:rsid w:val="19EB7814"/>
    <w:rsid w:val="19F556D8"/>
    <w:rsid w:val="1ABB736F"/>
    <w:rsid w:val="1CA30D8E"/>
    <w:rsid w:val="1E237E7E"/>
    <w:rsid w:val="1E9E67FF"/>
    <w:rsid w:val="20AF62AE"/>
    <w:rsid w:val="210F0816"/>
    <w:rsid w:val="244403B4"/>
    <w:rsid w:val="24E400BF"/>
    <w:rsid w:val="26DF605F"/>
    <w:rsid w:val="2728014B"/>
    <w:rsid w:val="290E256A"/>
    <w:rsid w:val="2A4F482B"/>
    <w:rsid w:val="2C2A4965"/>
    <w:rsid w:val="2D8748E9"/>
    <w:rsid w:val="2DE33D57"/>
    <w:rsid w:val="2ECB20BA"/>
    <w:rsid w:val="30DD298D"/>
    <w:rsid w:val="318908BB"/>
    <w:rsid w:val="31896E91"/>
    <w:rsid w:val="33424C23"/>
    <w:rsid w:val="33590AD6"/>
    <w:rsid w:val="336B3CAA"/>
    <w:rsid w:val="34AA5DC2"/>
    <w:rsid w:val="35507787"/>
    <w:rsid w:val="35B474AB"/>
    <w:rsid w:val="36053DB6"/>
    <w:rsid w:val="3789228D"/>
    <w:rsid w:val="393E44F9"/>
    <w:rsid w:val="39565D62"/>
    <w:rsid w:val="39635696"/>
    <w:rsid w:val="39F4652E"/>
    <w:rsid w:val="3B17580F"/>
    <w:rsid w:val="3CC120F2"/>
    <w:rsid w:val="3D1D0C51"/>
    <w:rsid w:val="3E407AAF"/>
    <w:rsid w:val="3E422FB2"/>
    <w:rsid w:val="4004626D"/>
    <w:rsid w:val="42050EA7"/>
    <w:rsid w:val="42611755"/>
    <w:rsid w:val="43E3619A"/>
    <w:rsid w:val="445718EE"/>
    <w:rsid w:val="448A4A92"/>
    <w:rsid w:val="45084F4F"/>
    <w:rsid w:val="460B37ED"/>
    <w:rsid w:val="47DB377D"/>
    <w:rsid w:val="47F47296"/>
    <w:rsid w:val="4AE01C0B"/>
    <w:rsid w:val="4B807C59"/>
    <w:rsid w:val="4D103458"/>
    <w:rsid w:val="4D6C4EF6"/>
    <w:rsid w:val="4D7E0E5D"/>
    <w:rsid w:val="4DAA129E"/>
    <w:rsid w:val="4EA37297"/>
    <w:rsid w:val="4EB33AE4"/>
    <w:rsid w:val="4F5F53A6"/>
    <w:rsid w:val="505C355C"/>
    <w:rsid w:val="52FE08FA"/>
    <w:rsid w:val="543807B5"/>
    <w:rsid w:val="545D5EF6"/>
    <w:rsid w:val="56FA45C0"/>
    <w:rsid w:val="57796308"/>
    <w:rsid w:val="58701BA4"/>
    <w:rsid w:val="58B06B3A"/>
    <w:rsid w:val="5984243F"/>
    <w:rsid w:val="5B8F0C89"/>
    <w:rsid w:val="5C1D6295"/>
    <w:rsid w:val="5D4A4535"/>
    <w:rsid w:val="5D5C6839"/>
    <w:rsid w:val="5DEE3BA9"/>
    <w:rsid w:val="5E810B9A"/>
    <w:rsid w:val="5E9F031F"/>
    <w:rsid w:val="5F8B19CE"/>
    <w:rsid w:val="624C7EAA"/>
    <w:rsid w:val="666B22F3"/>
    <w:rsid w:val="672A3F5C"/>
    <w:rsid w:val="67BB6BE3"/>
    <w:rsid w:val="681C6DDC"/>
    <w:rsid w:val="68784853"/>
    <w:rsid w:val="6D0D3E13"/>
    <w:rsid w:val="6F410D93"/>
    <w:rsid w:val="6F5853FA"/>
    <w:rsid w:val="704D75D3"/>
    <w:rsid w:val="70AD0C70"/>
    <w:rsid w:val="71194D26"/>
    <w:rsid w:val="724C4180"/>
    <w:rsid w:val="732706F9"/>
    <w:rsid w:val="74A90E7B"/>
    <w:rsid w:val="764E6D27"/>
    <w:rsid w:val="77FA6D96"/>
    <w:rsid w:val="78FB585E"/>
    <w:rsid w:val="79954464"/>
    <w:rsid w:val="7A6A042B"/>
    <w:rsid w:val="7B2A23CC"/>
    <w:rsid w:val="7CE97137"/>
    <w:rsid w:val="7DCC30E9"/>
    <w:rsid w:val="7F4670CD"/>
    <w:rsid w:val="7F676E27"/>
    <w:rsid w:val="7F7B4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spacing w:before="120" w:after="120" w:line="360" w:lineRule="auto"/>
      <w:contextualSpacing/>
      <w:jc w:val="left"/>
      <w:outlineLvl w:val="2"/>
    </w:pPr>
    <w:rPr>
      <w:rFonts w:ascii="宋体" w:hAnsi="宋体"/>
      <w:b/>
      <w:bCs/>
      <w:kern w:val="0"/>
      <w:sz w:val="24"/>
      <w:szCs w:val="2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Document Map"/>
    <w:basedOn w:val="1"/>
    <w:link w:val="27"/>
    <w:unhideWhenUsed/>
    <w:qFormat/>
    <w:uiPriority w:val="99"/>
    <w:rPr>
      <w:rFonts w:ascii="宋体" w:eastAsia="宋体"/>
      <w:sz w:val="18"/>
      <w:szCs w:val="18"/>
    </w:r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Plain Text"/>
    <w:basedOn w:val="1"/>
    <w:unhideWhenUsed/>
    <w:qFormat/>
    <w:uiPriority w:val="99"/>
    <w:rPr>
      <w:rFonts w:ascii="宋体" w:hAnsi="Courier New"/>
      <w:szCs w:val="20"/>
    </w:rPr>
  </w:style>
  <w:style w:type="paragraph" w:styleId="8">
    <w:name w:val="Balloon Text"/>
    <w:basedOn w:val="1"/>
    <w:link w:val="26"/>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cs="Times New Roman"/>
      <w:kern w:val="0"/>
      <w:sz w:val="22"/>
    </w:rPr>
  </w:style>
  <w:style w:type="paragraph" w:styleId="12">
    <w:name w:val="toc 2"/>
    <w:basedOn w:val="1"/>
    <w:next w:val="1"/>
    <w:unhideWhenUsed/>
    <w:qFormat/>
    <w:uiPriority w:val="39"/>
    <w:pPr>
      <w:widowControl/>
      <w:spacing w:after="100" w:line="259" w:lineRule="auto"/>
      <w:ind w:left="220"/>
      <w:jc w:val="left"/>
    </w:pPr>
    <w:rPr>
      <w:rFonts w:cs="Times New Roman"/>
      <w:kern w:val="0"/>
      <w:sz w:val="22"/>
    </w:rPr>
  </w:style>
  <w:style w:type="paragraph" w:styleId="13">
    <w:name w:val="Title"/>
    <w:basedOn w:val="1"/>
    <w:next w:val="1"/>
    <w:qFormat/>
    <w:uiPriority w:val="10"/>
    <w:pPr>
      <w:tabs>
        <w:tab w:val="left" w:pos="3840"/>
      </w:tabs>
      <w:contextualSpacing/>
      <w:jc w:val="left"/>
      <w:outlineLvl w:val="0"/>
    </w:pPr>
    <w:rPr>
      <w:rFonts w:ascii="Cambria" w:hAnsi="Cambria"/>
      <w:b/>
      <w:bCs/>
      <w:kern w:val="0"/>
      <w:sz w:val="28"/>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Char"/>
    <w:basedOn w:val="16"/>
    <w:link w:val="10"/>
    <w:qFormat/>
    <w:uiPriority w:val="99"/>
    <w:rPr>
      <w:sz w:val="18"/>
      <w:szCs w:val="18"/>
    </w:rPr>
  </w:style>
  <w:style w:type="character" w:customStyle="1" w:styleId="19">
    <w:name w:val="页脚 Char"/>
    <w:basedOn w:val="16"/>
    <w:link w:val="9"/>
    <w:qFormat/>
    <w:uiPriority w:val="99"/>
    <w:rPr>
      <w:sz w:val="18"/>
      <w:szCs w:val="18"/>
    </w:rPr>
  </w:style>
  <w:style w:type="character" w:customStyle="1" w:styleId="20">
    <w:name w:val="标题 1 Char"/>
    <w:basedOn w:val="16"/>
    <w:link w:val="2"/>
    <w:qFormat/>
    <w:uiPriority w:val="9"/>
    <w:rPr>
      <w:b/>
      <w:bCs/>
      <w:kern w:val="44"/>
      <w:sz w:val="44"/>
      <w:szCs w:val="44"/>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2">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23">
    <w:name w:val="标题 2 Char"/>
    <w:basedOn w:val="16"/>
    <w:link w:val="3"/>
    <w:qFormat/>
    <w:uiPriority w:val="0"/>
    <w:rPr>
      <w:rFonts w:ascii="Arial" w:hAnsi="Arial" w:eastAsia="黑体" w:cs="Times New Roman"/>
      <w:b/>
      <w:bCs/>
      <w:sz w:val="32"/>
      <w:szCs w:val="32"/>
    </w:rPr>
  </w:style>
  <w:style w:type="paragraph" w:customStyle="1" w:styleId="24">
    <w:name w:val="目录"/>
    <w:basedOn w:val="1"/>
    <w:qFormat/>
    <w:uiPriority w:val="0"/>
    <w:rPr>
      <w:rFonts w:ascii="楷体_GB2312" w:hAnsi="Times New Roman" w:eastAsia="楷体_GB2312" w:cs="Times New Roman"/>
      <w:b/>
      <w:bCs/>
      <w:sz w:val="36"/>
      <w:szCs w:val="36"/>
    </w:rPr>
  </w:style>
  <w:style w:type="paragraph" w:customStyle="1" w:styleId="25">
    <w:name w:val="列出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26">
    <w:name w:val="批注框文本 Char"/>
    <w:basedOn w:val="16"/>
    <w:link w:val="8"/>
    <w:semiHidden/>
    <w:qFormat/>
    <w:uiPriority w:val="99"/>
    <w:rPr>
      <w:sz w:val="18"/>
      <w:szCs w:val="18"/>
    </w:rPr>
  </w:style>
  <w:style w:type="character" w:customStyle="1" w:styleId="27">
    <w:name w:val="文档结构图 Char"/>
    <w:basedOn w:val="16"/>
    <w:link w:val="5"/>
    <w:semiHidden/>
    <w:qFormat/>
    <w:uiPriority w:val="99"/>
    <w:rPr>
      <w:rFonts w:ascii="宋体" w:eastAsia="宋体"/>
      <w:sz w:val="18"/>
      <w:szCs w:val="18"/>
    </w:rPr>
  </w:style>
  <w:style w:type="paragraph" w:customStyle="1" w:styleId="28">
    <w:name w:val="USE 1"/>
    <w:basedOn w:val="1"/>
    <w:qFormat/>
    <w:uiPriority w:val="0"/>
    <w:pPr>
      <w:spacing w:line="200" w:lineRule="exact"/>
      <w:ind w:firstLine="200" w:firstLineChars="200"/>
      <w:contextualSpacing/>
      <w:jc w:val="left"/>
    </w:pPr>
    <w:rPr>
      <w:rFonts w:ascii="宋体" w:hAnsi="宋体"/>
      <w:b/>
      <w:sz w:val="24"/>
      <w:szCs w:val="28"/>
    </w:rPr>
  </w:style>
  <w:style w:type="character" w:customStyle="1" w:styleId="29">
    <w:name w:val="font51"/>
    <w:basedOn w:val="16"/>
    <w:qFormat/>
    <w:uiPriority w:val="0"/>
    <w:rPr>
      <w:rFonts w:hint="default" w:ascii="仿宋_GB2312" w:eastAsia="仿宋_GB2312" w:cs="仿宋_GB2312"/>
      <w:color w:val="000000"/>
      <w:sz w:val="20"/>
      <w:szCs w:val="20"/>
      <w:u w:val="none"/>
    </w:rPr>
  </w:style>
  <w:style w:type="character" w:customStyle="1" w:styleId="30">
    <w:name w:val="font11"/>
    <w:basedOn w:val="16"/>
    <w:qFormat/>
    <w:uiPriority w:val="0"/>
    <w:rPr>
      <w:rFonts w:hint="eastAsia" w:ascii="宋体" w:hAnsi="宋体" w:eastAsia="宋体" w:cs="宋体"/>
      <w:color w:val="000000"/>
      <w:sz w:val="20"/>
      <w:szCs w:val="20"/>
      <w:u w:val="none"/>
    </w:rPr>
  </w:style>
  <w:style w:type="character" w:customStyle="1" w:styleId="31">
    <w:name w:val="font21"/>
    <w:basedOn w:val="16"/>
    <w:qFormat/>
    <w:uiPriority w:val="0"/>
    <w:rPr>
      <w:rFonts w:hint="default" w:ascii="仿宋_GB2312" w:eastAsia="仿宋_GB2312" w:cs="仿宋_GB2312"/>
      <w:color w:val="000000"/>
      <w:sz w:val="20"/>
      <w:szCs w:val="20"/>
      <w:u w:val="none"/>
    </w:rPr>
  </w:style>
  <w:style w:type="character" w:customStyle="1" w:styleId="32">
    <w:name w:val="font41"/>
    <w:basedOn w:val="16"/>
    <w:qFormat/>
    <w:uiPriority w:val="0"/>
    <w:rPr>
      <w:rFonts w:hint="eastAsia" w:ascii="华文细黑" w:hAnsi="华文细黑" w:eastAsia="华文细黑" w:cs="华文细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F7D1-EAF6-426B-9B23-B133E3D8E2D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5225</Words>
  <Characters>5489</Characters>
  <Lines>37</Lines>
  <Paragraphs>10</Paragraphs>
  <TotalTime>20</TotalTime>
  <ScaleCrop>false</ScaleCrop>
  <LinksUpToDate>false</LinksUpToDate>
  <CharactersWithSpaces>6439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2017-05-03T03:01:00Z</dcterms:created>
  <dc:creator>黄兴科</dc:creator>
  <cp:lastModifiedBy>终点站</cp:lastModifiedBy>
  <cp:lastPrinted>2017-02-10T06:54:00Z</cp:lastPrinted>
  <dcterms:modified xsi:type="dcterms:W3CDTF">2025-04-03T02:05:19Z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3DB8800E81F04E1B97D4B714D23AF571</vt:lpwstr>
  </property>
</Properties>
</file>